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both"/>
        <w:rPr>
          <w:rFonts w:hAnsi="黑体"/>
          <w:sz w:val="36"/>
          <w:szCs w:val="36"/>
        </w:rPr>
      </w:pPr>
    </w:p>
    <w:p>
      <w:pPr>
        <w:pStyle w:val="15"/>
        <w:jc w:val="center"/>
        <w:rPr>
          <w:rFonts w:ascii="Times New Roman" w:hAnsi="Times New Roman" w:cs="Times New Roman"/>
          <w:sz w:val="56"/>
          <w:szCs w:val="56"/>
        </w:rPr>
      </w:pPr>
    </w:p>
    <w:p>
      <w:pPr>
        <w:pStyle w:val="15"/>
        <w:keepNext w:val="0"/>
        <w:keepLines w:val="0"/>
        <w:pageBreakBefore w:val="0"/>
        <w:widowControl w:val="0"/>
        <w:kinsoku/>
        <w:wordWrap/>
        <w:overflowPunct/>
        <w:topLinePunct w:val="0"/>
        <w:autoSpaceDE w:val="0"/>
        <w:autoSpaceDN w:val="0"/>
        <w:bidi w:val="0"/>
        <w:adjustRightInd w:val="0"/>
        <w:snapToGrid/>
        <w:spacing w:line="1000" w:lineRule="exact"/>
        <w:jc w:val="center"/>
        <w:textAlignment w:val="auto"/>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2024年度</w:t>
      </w:r>
    </w:p>
    <w:p>
      <w:pPr>
        <w:pStyle w:val="15"/>
        <w:keepNext w:val="0"/>
        <w:keepLines w:val="0"/>
        <w:pageBreakBefore w:val="0"/>
        <w:widowControl w:val="0"/>
        <w:kinsoku/>
        <w:wordWrap/>
        <w:overflowPunct/>
        <w:topLinePunct w:val="0"/>
        <w:autoSpaceDE w:val="0"/>
        <w:autoSpaceDN w:val="0"/>
        <w:bidi w:val="0"/>
        <w:adjustRightInd w:val="0"/>
        <w:snapToGrid/>
        <w:spacing w:line="1000" w:lineRule="exact"/>
        <w:jc w:val="center"/>
        <w:textAlignment w:val="auto"/>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湖南省法人大数据运维中心</w:t>
      </w:r>
      <w:r>
        <w:rPr>
          <w:rFonts w:hint="eastAsia" w:ascii="方正小标宋_GBK" w:hAnsi="方正小标宋_GBK" w:eastAsia="方正小标宋_GBK" w:cs="方正小标宋_GBK"/>
          <w:sz w:val="72"/>
          <w:szCs w:val="72"/>
          <w:lang w:eastAsia="zh-CN"/>
        </w:rPr>
        <w:t>单位</w:t>
      </w:r>
      <w:r>
        <w:rPr>
          <w:rFonts w:hint="eastAsia" w:ascii="方正小标宋_GBK" w:hAnsi="方正小标宋_GBK" w:eastAsia="方正小标宋_GBK" w:cs="方正小标宋_GBK"/>
          <w:sz w:val="72"/>
          <w:szCs w:val="72"/>
        </w:rPr>
        <w:t>决算</w:t>
      </w:r>
    </w:p>
    <w:p>
      <w:pPr>
        <w:pStyle w:val="15"/>
        <w:jc w:val="center"/>
        <w:rPr>
          <w:rFonts w:ascii="Times New Roman" w:hAnsi="Times New Roman" w:eastAsia="方正小标宋_GBK" w:cs="Times New Roman"/>
          <w:sz w:val="56"/>
          <w:szCs w:val="56"/>
        </w:rPr>
      </w:pPr>
    </w:p>
    <w:p>
      <w:pPr>
        <w:pStyle w:val="15"/>
        <w:jc w:val="center"/>
        <w:rPr>
          <w:rFonts w:ascii="Times New Roman" w:hAnsi="Times New Roman" w:cs="Times New Roman"/>
          <w:sz w:val="56"/>
          <w:szCs w:val="56"/>
        </w:rPr>
      </w:pPr>
    </w:p>
    <w:p>
      <w:pPr>
        <w:pStyle w:val="15"/>
        <w:rPr>
          <w:rFonts w:ascii="Times New Roman" w:hAnsi="Times New Roman" w:cs="Times New Roman"/>
          <w:sz w:val="56"/>
          <w:szCs w:val="56"/>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rPr>
          <w:rFonts w:ascii="Times New Roman" w:hAnsi="Times New Roman" w:cs="Times New Roman"/>
          <w:b/>
          <w:sz w:val="36"/>
          <w:szCs w:val="28"/>
        </w:rPr>
        <w:sectPr>
          <w:pgSz w:w="11906" w:h="16838"/>
          <w:pgMar w:top="1984" w:right="1474" w:bottom="1474" w:left="1474" w:header="850" w:footer="1134" w:gutter="0"/>
          <w:pgBorders>
            <w:top w:val="none" w:sz="0" w:space="0"/>
            <w:left w:val="none" w:sz="0" w:space="0"/>
            <w:bottom w:val="none" w:sz="0" w:space="0"/>
            <w:right w:val="none" w:sz="0" w:space="0"/>
          </w:pgBorders>
          <w:cols w:space="0" w:num="1"/>
          <w:rtlGutter w:val="0"/>
          <w:docGrid w:type="lines" w:linePitch="312" w:charSpace="0"/>
        </w:sectPr>
      </w:pPr>
    </w:p>
    <w:p>
      <w:pPr>
        <w:pStyle w:val="15"/>
        <w:spacing w:line="600" w:lineRule="exact"/>
        <w:jc w:val="both"/>
        <w:rPr>
          <w:rFonts w:ascii="Times New Roman" w:hAnsi="Times New Roman" w:cs="Times New Roman"/>
          <w:b/>
          <w:sz w:val="36"/>
          <w:szCs w:val="28"/>
        </w:rPr>
        <w:sectPr>
          <w:footerReference r:id="rId3" w:type="default"/>
          <w:pgSz w:w="11906" w:h="16838"/>
          <w:pgMar w:top="1984" w:right="1474" w:bottom="1474" w:left="1474" w:header="850" w:footer="1134" w:gutter="0"/>
          <w:pgBorders>
            <w:top w:val="none" w:sz="0" w:space="0"/>
            <w:left w:val="none" w:sz="0" w:space="0"/>
            <w:bottom w:val="none" w:sz="0" w:space="0"/>
            <w:right w:val="none" w:sz="0" w:space="0"/>
          </w:pgBorders>
          <w:pgNumType w:start="1"/>
          <w:cols w:space="425" w:num="1"/>
          <w:rtlGutter w:val="0"/>
          <w:docGrid w:type="lines" w:linePitch="312" w:charSpace="0"/>
        </w:sectPr>
      </w:pPr>
    </w:p>
    <w:p>
      <w:pPr>
        <w:pStyle w:val="15"/>
        <w:keepNext w:val="0"/>
        <w:keepLines w:val="0"/>
        <w:pageBreakBefore w:val="0"/>
        <w:widowControl w:val="0"/>
        <w:kinsoku/>
        <w:wordWrap/>
        <w:overflowPunct/>
        <w:topLinePunct/>
        <w:autoSpaceDE/>
        <w:autoSpaceDN/>
        <w:bidi w:val="0"/>
        <w:adjustRightInd w:val="0"/>
        <w:snapToGrid w:val="0"/>
        <w:spacing w:line="600" w:lineRule="exact"/>
        <w:jc w:val="both"/>
        <w:textAlignment w:val="auto"/>
        <w:rPr>
          <w:rFonts w:ascii="Times New Roman" w:hAnsi="Times New Roman" w:cs="Times New Roman"/>
          <w:b/>
          <w:sz w:val="36"/>
          <w:szCs w:val="28"/>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textAlignment w:val="auto"/>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目  录</w:t>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textAlignment w:val="auto"/>
        <w:rPr>
          <w:rFonts w:ascii="Times New Roman" w:hAnsi="Times New Roman" w:cs="Times New Roman"/>
          <w:b/>
          <w:sz w:val="36"/>
          <w:szCs w:val="28"/>
        </w:rPr>
      </w:pP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黑体_GBK" w:cs="方正黑体_GBK"/>
          <w:bCs/>
          <w:sz w:val="32"/>
          <w:szCs w:val="32"/>
          <w:lang w:val="en-US" w:eastAsia="zh-CN"/>
        </w:rPr>
      </w:pPr>
      <w:r>
        <w:rPr>
          <w:rFonts w:hint="eastAsia" w:ascii="Times New Roman" w:hAnsi="Times New Roman" w:eastAsia="方正黑体_GBK" w:cs="方正黑体_GBK"/>
          <w:bCs/>
          <w:sz w:val="32"/>
          <w:szCs w:val="32"/>
        </w:rPr>
        <w:t>第一部分 湖南省法人大数据运维中心概况</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一、</w:t>
      </w:r>
      <w:r>
        <w:rPr>
          <w:rFonts w:hint="eastAsia" w:ascii="Times New Roman" w:hAnsi="Times New Roman" w:eastAsia="方正仿宋_GBK" w:cs="方正仿宋_GBK"/>
          <w:sz w:val="32"/>
          <w:szCs w:val="32"/>
          <w:lang w:eastAsia="zh-CN"/>
        </w:rPr>
        <w:t>单位</w:t>
      </w:r>
      <w:r>
        <w:rPr>
          <w:rFonts w:hint="eastAsia" w:ascii="Times New Roman" w:hAnsi="Times New Roman" w:eastAsia="方正仿宋_GBK" w:cs="方正仿宋_GBK"/>
          <w:sz w:val="32"/>
          <w:szCs w:val="32"/>
        </w:rPr>
        <w:t>职责</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二、机构设置及决算单位构成</w:t>
      </w:r>
    </w:p>
    <w:p>
      <w:pPr>
        <w:pStyle w:val="15"/>
        <w:keepNext w:val="0"/>
        <w:keepLines w:val="0"/>
        <w:pageBreakBefore w:val="0"/>
        <w:widowControl w:val="0"/>
        <w:kinsoku/>
        <w:wordWrap/>
        <w:overflowPunct/>
        <w:topLinePunct/>
        <w:autoSpaceDE/>
        <w:autoSpaceDN/>
        <w:bidi w:val="0"/>
        <w:adjustRightInd w:val="0"/>
        <w:snapToGrid w:val="0"/>
        <w:spacing w:line="600" w:lineRule="exact"/>
        <w:textAlignment w:val="auto"/>
        <w:rPr>
          <w:rFonts w:hint="eastAsia" w:ascii="Times New Roman" w:hAnsi="Times New Roman" w:eastAsia="方正黑体_GBK" w:cs="方正黑体_GBK"/>
          <w:bCs/>
          <w:sz w:val="32"/>
          <w:szCs w:val="32"/>
        </w:rPr>
      </w:pPr>
      <w:r>
        <w:rPr>
          <w:rFonts w:hint="eastAsia" w:ascii="Times New Roman" w:hAnsi="Times New Roman" w:eastAsia="方正黑体_GBK" w:cs="方正黑体_GBK"/>
          <w:bCs/>
          <w:sz w:val="32"/>
          <w:szCs w:val="32"/>
        </w:rPr>
        <w:t xml:space="preserve">第二部分 </w:t>
      </w:r>
      <w:r>
        <w:rPr>
          <w:rFonts w:hint="eastAsia" w:ascii="Times New Roman" w:hAnsi="Times New Roman" w:eastAsia="方正黑体_GBK" w:cs="方正黑体_GBK"/>
          <w:bCs/>
          <w:sz w:val="32"/>
          <w:szCs w:val="32"/>
          <w:lang w:eastAsia="zh-CN"/>
        </w:rPr>
        <w:t>单位</w:t>
      </w:r>
      <w:r>
        <w:rPr>
          <w:rFonts w:hint="eastAsia" w:ascii="Times New Roman" w:hAnsi="Times New Roman" w:eastAsia="方正黑体_GBK" w:cs="方正黑体_GBK"/>
          <w:bCs/>
          <w:sz w:val="32"/>
          <w:szCs w:val="32"/>
        </w:rPr>
        <w:t>决算表</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一、收入支出决算总表</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二、收入决算表</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三、支出决算表</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四、财政拨款收入支出决算总表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五、一般公共预算财政拨款支出决算表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六、一般公共预算财政拨款基本支出决算明细表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七、政府性基金预算财政拨款收入支出决算表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八、国有资本经营预算财政拨款支出决算表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九、财政拨款“三公”经费支出决算表</w:t>
      </w:r>
    </w:p>
    <w:p>
      <w:pPr>
        <w:pStyle w:val="15"/>
        <w:keepNext w:val="0"/>
        <w:keepLines w:val="0"/>
        <w:pageBreakBefore w:val="0"/>
        <w:widowControl w:val="0"/>
        <w:tabs>
          <w:tab w:val="left" w:leader="middleDot" w:pos="8610"/>
        </w:tabs>
        <w:kinsoku/>
        <w:wordWrap/>
        <w:overflowPunct/>
        <w:topLinePunct/>
        <w:autoSpaceDE/>
        <w:autoSpaceDN/>
        <w:bidi w:val="0"/>
        <w:adjustRightInd w:val="0"/>
        <w:snapToGrid w:val="0"/>
        <w:spacing w:line="600" w:lineRule="exact"/>
        <w:textAlignment w:val="auto"/>
        <w:rPr>
          <w:rFonts w:hint="default" w:ascii="Times New Roman" w:hAnsi="Times New Roman" w:eastAsia="方正黑体_GBK" w:cs="方正黑体_GBK"/>
          <w:bCs/>
          <w:sz w:val="32"/>
          <w:szCs w:val="32"/>
          <w:lang w:val="en-US" w:eastAsia="zh-CN"/>
        </w:rPr>
      </w:pPr>
      <w:r>
        <w:rPr>
          <w:rFonts w:hint="eastAsia" w:ascii="Times New Roman" w:hAnsi="Times New Roman" w:eastAsia="方正黑体_GBK" w:cs="方正黑体_GBK"/>
          <w:bCs/>
          <w:sz w:val="32"/>
          <w:szCs w:val="32"/>
        </w:rPr>
        <w:t xml:space="preserve">第三部分 </w:t>
      </w:r>
      <w:r>
        <w:rPr>
          <w:rFonts w:hint="eastAsia" w:ascii="Times New Roman" w:hAnsi="Times New Roman" w:eastAsia="方正黑体_GBK" w:cs="方正黑体_GBK"/>
          <w:bCs/>
          <w:sz w:val="32"/>
          <w:szCs w:val="32"/>
          <w:lang w:eastAsia="zh-CN"/>
        </w:rPr>
        <w:t>单位</w:t>
      </w:r>
      <w:r>
        <w:rPr>
          <w:rFonts w:hint="eastAsia" w:ascii="Times New Roman" w:hAnsi="Times New Roman" w:eastAsia="方正黑体_GBK" w:cs="方正黑体_GBK"/>
          <w:bCs/>
          <w:sz w:val="32"/>
          <w:szCs w:val="32"/>
        </w:rPr>
        <w:t>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一、收入支出决算总体情况说明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二、收入决算情况说明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三、支出决算情况说明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四、财政拨款收入支出决算总体情况说明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五、一般公共预算财政拨款支出决算情况说明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六、一般公共预算财政拨款基本支出决算情况说明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七、财政拨款“三公”经费支出决算情况说明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八、政府性基金预算收入支出决算情况</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九、关于机关运行经费支出说明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十、一般性支出情况说明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十一、关于政府采购支出说明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十二、关于国有资产占用情况说明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十三、关于2024年度预算绩效管理情况的说明</w:t>
      </w:r>
    </w:p>
    <w:p>
      <w:pPr>
        <w:pStyle w:val="15"/>
        <w:keepNext w:val="0"/>
        <w:keepLines w:val="0"/>
        <w:pageBreakBefore w:val="0"/>
        <w:widowControl w:val="0"/>
        <w:tabs>
          <w:tab w:val="left" w:leader="middleDot" w:pos="8610"/>
        </w:tabs>
        <w:kinsoku/>
        <w:wordWrap/>
        <w:overflowPunct/>
        <w:topLinePunct/>
        <w:autoSpaceDE/>
        <w:autoSpaceDN/>
        <w:bidi w:val="0"/>
        <w:adjustRightInd w:val="0"/>
        <w:snapToGrid w:val="0"/>
        <w:spacing w:line="600" w:lineRule="exact"/>
        <w:textAlignment w:val="auto"/>
        <w:rPr>
          <w:rFonts w:hint="default" w:ascii="Times New Roman" w:hAnsi="Times New Roman" w:eastAsia="方正黑体_GBK" w:cs="方正黑体_GBK"/>
          <w:bCs/>
          <w:sz w:val="32"/>
          <w:szCs w:val="32"/>
          <w:lang w:val="en-US" w:eastAsia="zh-CN"/>
        </w:rPr>
      </w:pPr>
      <w:r>
        <w:rPr>
          <w:rFonts w:hint="eastAsia" w:ascii="Times New Roman" w:hAnsi="Times New Roman" w:eastAsia="方正黑体_GBK" w:cs="方正黑体_GBK"/>
          <w:bCs/>
          <w:sz w:val="32"/>
          <w:szCs w:val="32"/>
        </w:rPr>
        <w:t>第四部分 名词解释</w:t>
      </w:r>
    </w:p>
    <w:p>
      <w:pPr>
        <w:pStyle w:val="15"/>
        <w:keepNext w:val="0"/>
        <w:keepLines w:val="0"/>
        <w:pageBreakBefore w:val="0"/>
        <w:widowControl w:val="0"/>
        <w:tabs>
          <w:tab w:val="left" w:leader="middleDot" w:pos="8610"/>
        </w:tabs>
        <w:kinsoku/>
        <w:wordWrap/>
        <w:overflowPunct/>
        <w:topLinePunct/>
        <w:autoSpaceDE/>
        <w:autoSpaceDN/>
        <w:bidi w:val="0"/>
        <w:adjustRightInd w:val="0"/>
        <w:snapToGrid w:val="0"/>
        <w:spacing w:line="600" w:lineRule="exact"/>
        <w:textAlignment w:val="auto"/>
        <w:rPr>
          <w:rFonts w:hint="default" w:ascii="Times New Roman" w:hAnsi="Times New Roman" w:eastAsia="方正黑体_GBK" w:cs="方正黑体_GBK"/>
          <w:bCs/>
          <w:sz w:val="32"/>
          <w:szCs w:val="32"/>
          <w:lang w:val="en-US" w:eastAsia="zh-CN"/>
        </w:rPr>
      </w:pPr>
      <w:r>
        <w:rPr>
          <w:rFonts w:hint="eastAsia" w:ascii="Times New Roman" w:hAnsi="Times New Roman" w:eastAsia="方正黑体_GBK" w:cs="方正黑体_GBK"/>
          <w:bCs/>
          <w:sz w:val="32"/>
          <w:szCs w:val="32"/>
        </w:rPr>
        <w:t>第五部分 附件</w:t>
      </w:r>
    </w:p>
    <w:p>
      <w:pPr>
        <w:pStyle w:val="15"/>
        <w:spacing w:line="600" w:lineRule="exact"/>
        <w:rPr>
          <w:rFonts w:ascii="Times New Roman" w:hAnsi="Times New Roman" w:cs="Times New Roman"/>
          <w:bCs/>
          <w:sz w:val="28"/>
          <w:szCs w:val="28"/>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pStyle w:val="10"/>
        <w:rPr>
          <w:rFonts w:ascii="Times New Roman" w:hAnsi="Times New Roman" w:cs="Times New Roman"/>
        </w:rPr>
        <w:sectPr>
          <w:footerReference r:id="rId4" w:type="default"/>
          <w:pgSz w:w="11906" w:h="16838"/>
          <w:pgMar w:top="1984" w:right="1474" w:bottom="1474" w:left="1474" w:header="850" w:footer="1134" w:gutter="0"/>
          <w:pgBorders>
            <w:top w:val="none" w:sz="0" w:space="0"/>
            <w:left w:val="none" w:sz="0" w:space="0"/>
            <w:bottom w:val="none" w:sz="0" w:space="0"/>
            <w:right w:val="none" w:sz="0" w:space="0"/>
          </w:pgBorders>
          <w:pgNumType w:start="1"/>
          <w:cols w:space="425" w:num="1"/>
          <w:rtlGutter w:val="0"/>
          <w:docGrid w:type="lines" w:linePitch="312" w:charSpace="0"/>
        </w:sectPr>
      </w:pPr>
    </w:p>
    <w:p>
      <w:pPr>
        <w:keepNext w:val="0"/>
        <w:keepLines w:val="0"/>
        <w:pageBreakBefore w:val="0"/>
        <w:widowControl w:val="0"/>
        <w:kinsoku/>
        <w:wordWrap/>
        <w:overflowPunct/>
        <w:topLinePunct/>
        <w:autoSpaceDE/>
        <w:autoSpaceDN/>
        <w:bidi w:val="0"/>
        <w:adjustRightInd w:val="0"/>
        <w:snapToGrid w:val="0"/>
        <w:spacing w:line="600" w:lineRule="exact"/>
        <w:textAlignment w:val="auto"/>
        <w:rPr>
          <w:rFonts w:ascii="Times New Roman" w:hAnsi="Times New Roman" w:eastAsia="方正小标宋_GBK" w:cs="Times New Roman"/>
          <w:sz w:val="72"/>
          <w:szCs w:val="7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第一部分</w:t>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textAlignment w:val="auto"/>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湖南省法人大数据运维中心</w:t>
      </w:r>
      <w:r>
        <w:rPr>
          <w:rFonts w:ascii="Times New Roman" w:hAnsi="Times New Roman" w:eastAsia="方正小标宋_GBK" w:cs="Times New Roman"/>
          <w:sz w:val="44"/>
          <w:szCs w:val="44"/>
        </w:rPr>
        <w:t>概况</w:t>
      </w:r>
    </w:p>
    <w:p>
      <w:pPr>
        <w:pStyle w:val="6"/>
        <w:keepNext w:val="0"/>
        <w:keepLines w:val="0"/>
        <w:pageBreakBefore w:val="0"/>
        <w:widowControl w:val="0"/>
        <w:kinsoku/>
        <w:wordWrap/>
        <w:overflowPunct/>
        <w:topLinePunct/>
        <w:autoSpaceDE/>
        <w:autoSpaceDN/>
        <w:bidi w:val="0"/>
        <w:adjustRightInd w:val="0"/>
        <w:snapToGrid w:val="0"/>
        <w:spacing w:after="0" w:line="600" w:lineRule="exact"/>
        <w:ind w:left="0" w:leftChars="0" w:firstLine="0" w:firstLineChars="0"/>
        <w:textAlignment w:val="auto"/>
        <w:rPr>
          <w:rFonts w:ascii="Times New Roman" w:hAnsi="Times New Roman" w:cs="Times New Roman"/>
        </w:rPr>
      </w:pPr>
    </w:p>
    <w:p>
      <w:pPr>
        <w:pStyle w:val="16"/>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w:t>
      </w:r>
      <w:r>
        <w:rPr>
          <w:rFonts w:hint="eastAsia" w:ascii="方正黑体_GBK" w:hAnsi="方正黑体_GBK" w:eastAsia="方正黑体_GBK" w:cs="方正黑体_GBK"/>
          <w:sz w:val="32"/>
          <w:szCs w:val="32"/>
          <w:lang w:eastAsia="zh-CN"/>
        </w:rPr>
        <w:t>单位</w:t>
      </w:r>
      <w:r>
        <w:rPr>
          <w:rFonts w:hint="eastAsia" w:ascii="方正黑体_GBK" w:hAnsi="方正黑体_GBK" w:eastAsia="方正黑体_GBK" w:cs="方正黑体_GBK"/>
          <w:sz w:val="32"/>
          <w:szCs w:val="32"/>
        </w:rPr>
        <w:t>职责</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一）湖南省法人大数据运维中心贯彻落实党中央、省委和省市场监督管理局关于法人大数据管理和信息化工作的方针政策和决策部署，主要职责是：为机关提供支持保障的职能。承担法人大数据平台系统建设、运维职能；承担机关信息化工作支撑职能；承担省局信息化项目、系统以及基础设施的规划、建设、管理、运维、技术保障和全省市场监管系统信息化建设的指导、推广；承担湖南省“互联网+监管”系统建设、运维相关事务性工作。</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（二）完成湖南省市场监督管理局交办的其他任务。</w:t>
      </w:r>
    </w:p>
    <w:p>
      <w:pPr>
        <w:pStyle w:val="16"/>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二、机构设置及决算单位构成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bCs/>
          <w:kern w:val="0"/>
          <w:sz w:val="32"/>
          <w:szCs w:val="32"/>
        </w:rPr>
      </w:pPr>
      <w:r>
        <w:rPr>
          <w:rFonts w:hint="eastAsia" w:ascii="方正楷体_GBK" w:hAnsi="方正楷体_GBK" w:eastAsia="方正楷体_GBK" w:cs="方正楷体_GBK"/>
          <w:bCs/>
          <w:kern w:val="0"/>
          <w:sz w:val="32"/>
          <w:szCs w:val="32"/>
        </w:rPr>
        <w:t>（一）内设机构设置。</w:t>
      </w:r>
      <w:r>
        <w:rPr>
          <w:rFonts w:hint="eastAsia" w:ascii="Times New Roman" w:hAnsi="Times New Roman" w:eastAsia="方正仿宋_GBK" w:cs="方正仿宋_GBK"/>
          <w:bCs/>
          <w:kern w:val="0"/>
          <w:sz w:val="32"/>
          <w:szCs w:val="32"/>
        </w:rPr>
        <w:t>湖南省法人大数据运维中心内设机构包括：1.综合部。负责中心日常运转，承担党建、群团、人事、纪检监察、离退休人员管理、综合协调、信息化发展规划及标准编制等工作。2.应用部。负责湖南省法人大数据平台、湖南省“互联网+监管”系统的建设、运行和维护；负责省局政务信息系统的建设和技术保障；负责省局数据中心的建设、管理、运维以及数据资源的管理、应用和服务；负责机关信息网络安全及技术保障工作；承担省局信息化基础设施的规划、建设、运行和维护。</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bCs/>
          <w:kern w:val="0"/>
          <w:sz w:val="32"/>
          <w:szCs w:val="32"/>
          <w:lang w:eastAsia="zh-CN"/>
        </w:rPr>
      </w:pPr>
      <w:r>
        <w:rPr>
          <w:rFonts w:hint="eastAsia" w:ascii="方正楷体_GBK" w:hAnsi="方正楷体_GBK" w:eastAsia="方正楷体_GBK" w:cs="方正楷体_GBK"/>
          <w:bCs/>
          <w:kern w:val="0"/>
          <w:sz w:val="32"/>
          <w:szCs w:val="32"/>
        </w:rPr>
        <w:t>（二）决算单位构成。</w:t>
      </w:r>
      <w:r>
        <w:rPr>
          <w:rFonts w:hint="eastAsia" w:ascii="Times New Roman" w:hAnsi="Times New Roman" w:eastAsia="方正仿宋_GBK" w:cs="方正仿宋_GBK"/>
          <w:bCs/>
          <w:kern w:val="0"/>
          <w:sz w:val="32"/>
          <w:szCs w:val="32"/>
        </w:rPr>
        <w:t>湖南省法人大数据运维中心2024年</w:t>
      </w:r>
      <w:r>
        <w:rPr>
          <w:rFonts w:hint="eastAsia" w:ascii="Times New Roman" w:hAnsi="Times New Roman" w:eastAsia="方正仿宋_GBK" w:cs="方正仿宋_GBK"/>
          <w:bCs/>
          <w:kern w:val="0"/>
          <w:sz w:val="32"/>
          <w:szCs w:val="32"/>
          <w:lang w:eastAsia="zh-CN"/>
        </w:rPr>
        <w:t>单位</w:t>
      </w:r>
      <w:r>
        <w:rPr>
          <w:rFonts w:hint="eastAsia" w:ascii="Times New Roman" w:hAnsi="Times New Roman" w:eastAsia="方正仿宋_GBK" w:cs="方正仿宋_GBK"/>
          <w:bCs/>
          <w:kern w:val="0"/>
          <w:sz w:val="32"/>
          <w:szCs w:val="32"/>
        </w:rPr>
        <w:t>决算汇总公开单位构成包括：湖南省法人大数据运维中心本级</w:t>
      </w:r>
      <w:r>
        <w:rPr>
          <w:rFonts w:hint="eastAsia" w:ascii="Times New Roman" w:hAnsi="Times New Roman" w:eastAsia="方正仿宋_GBK" w:cs="方正仿宋_GBK"/>
          <w:bCs/>
          <w:kern w:val="0"/>
          <w:sz w:val="32"/>
          <w:szCs w:val="32"/>
          <w:lang w:eastAsia="zh-CN"/>
        </w:rPr>
        <w:t>。</w:t>
      </w:r>
    </w:p>
    <w:p>
      <w:pPr>
        <w:jc w:val="left"/>
        <w:rPr>
          <w:rFonts w:ascii="Times New Roman" w:hAnsi="Times New Roman" w:eastAsia="仿宋_GB2312" w:cs="Times New Roman"/>
          <w:sz w:val="28"/>
          <w:szCs w:val="32"/>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pStyle w:val="10"/>
        <w:rPr>
          <w:rFonts w:ascii="Times New Roman" w:hAnsi="Times New Roman" w:cs="Times New Roman"/>
        </w:rPr>
        <w:sectPr>
          <w:footerReference r:id="rId5" w:type="default"/>
          <w:pgSz w:w="11906" w:h="16838"/>
          <w:pgMar w:top="1984" w:right="1474" w:bottom="1474" w:left="1474" w:header="850" w:footer="1134" w:gutter="0"/>
          <w:pgBorders>
            <w:top w:val="none" w:sz="0" w:space="0"/>
            <w:left w:val="none" w:sz="0" w:space="0"/>
            <w:bottom w:val="none" w:sz="0" w:space="0"/>
            <w:right w:val="none" w:sz="0" w:space="0"/>
          </w:pgBorders>
          <w:pgNumType w:fmt="decimal" w:start="1"/>
          <w:cols w:space="425" w:num="1"/>
          <w:rtlGutter w:val="0"/>
          <w:docGrid w:type="lines" w:linePitch="312" w:charSpace="0"/>
        </w:sect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ascii="Times New Roman" w:hAnsi="Times New Roman" w:eastAsia="方正小标宋_GBK" w:cs="Times New Roman"/>
          <w:sz w:val="44"/>
          <w:szCs w:val="44"/>
          <w:highlight w:val="none"/>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default" w:ascii="Times New Roman" w:hAnsi="Times New Roman" w:eastAsia="方正小标宋_GBK" w:cs="Times New Roman"/>
          <w:sz w:val="44"/>
          <w:szCs w:val="44"/>
          <w:highlight w:val="none"/>
          <w:lang w:val="en-US" w:eastAsia="zh-CN"/>
        </w:rPr>
      </w:pPr>
      <w:r>
        <w:rPr>
          <w:rFonts w:ascii="Times New Roman" w:hAnsi="Times New Roman" w:eastAsia="方正小标宋_GBK" w:cs="Times New Roman"/>
          <w:sz w:val="44"/>
          <w:szCs w:val="44"/>
          <w:highlight w:val="none"/>
        </w:rPr>
        <w:t>第二部分    部门决算表</w:t>
      </w:r>
    </w:p>
    <w:p>
      <w:pPr>
        <w:keepNext w:val="0"/>
        <w:keepLines w:val="0"/>
        <w:pageBreakBefore w:val="0"/>
        <w:widowControl w:val="0"/>
        <w:kinsoku/>
        <w:wordWrap/>
        <w:overflowPunct/>
        <w:topLinePunct/>
        <w:autoSpaceDE/>
        <w:autoSpaceDN/>
        <w:bidi w:val="0"/>
        <w:adjustRightInd w:val="0"/>
        <w:snapToGrid w:val="0"/>
        <w:spacing w:line="600" w:lineRule="exact"/>
        <w:jc w:val="center"/>
        <w:textAlignment w:val="center"/>
        <w:rPr>
          <w:rFonts w:ascii="Times New Roman" w:hAnsi="Times New Roman" w:eastAsia="黑体" w:cs="Times New Roman"/>
          <w:color w:val="000000"/>
          <w:kern w:val="0"/>
          <w:sz w:val="36"/>
          <w:szCs w:val="36"/>
          <w:lang w:bidi="ar"/>
        </w:rPr>
      </w:pPr>
    </w:p>
    <w:p>
      <w:pPr>
        <w:keepNext w:val="0"/>
        <w:keepLines w:val="0"/>
        <w:pageBreakBefore w:val="0"/>
        <w:widowControl w:val="0"/>
        <w:kinsoku/>
        <w:wordWrap/>
        <w:overflowPunct/>
        <w:topLinePunct/>
        <w:autoSpaceDE/>
        <w:autoSpaceDN/>
        <w:bidi w:val="0"/>
        <w:adjustRightInd w:val="0"/>
        <w:snapToGrid w:val="0"/>
        <w:spacing w:line="600" w:lineRule="exact"/>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收入支出决算总表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公开01表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145"/>
        <w:gridCol w:w="886"/>
        <w:gridCol w:w="1339"/>
        <w:gridCol w:w="5049"/>
        <w:gridCol w:w="923"/>
        <w:gridCol w:w="13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331"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收入</w:t>
            </w:r>
          </w:p>
        </w:tc>
        <w:tc>
          <w:tcPr>
            <w:tcW w:w="6331"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支出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行次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行次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一、一般公共预算财政拨款收入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一、一般公共服务支出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二、政府性基金预算财政拨款收入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default" w:ascii="Times New Roman" w:hAnsi="Times New Roman" w:eastAsia="方正仿宋_GBK" w:cs="方正仿宋_GBK"/>
                <w:i w:val="0"/>
                <w:iCs w:val="0"/>
                <w:color w:val="000000"/>
                <w:sz w:val="24"/>
                <w:szCs w:val="24"/>
                <w:u w:val="none"/>
                <w:lang w:val="en-US" w:eastAsia="zh-CN"/>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二、外交支出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三、国有资本经营预算财政拨款收入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三、国防支出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四、上级补助收入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四、公共安全支出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五、事业收入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五、教育支出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六、经营收入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六、科学技术支出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七、附属单位上缴收入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7</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七、文化旅游体育与传媒支出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37</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八、其他收入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八、社会保障和就业支出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38</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九、卫生健康支出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十、节能环保支出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40</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十一、城乡社区支出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十二、农林水支出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十三、交通运输支出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十四、资源勘探工业信息等支出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十五、商业服务业等支出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十六、金融支出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17</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十七、援助其他地区支出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47</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十八、自然资源海洋气象等支出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19</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十九、住房保障支出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二十、粮油物资储备支出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二十一、国有资本经营预算支出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51</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二十二、灾害防治及应急管理支出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二十三、其他支出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二十四、债务还本支出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二十五、债务付息支出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二十六、抗疫特别国债安排的支出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本年收入合计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27</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本年支出合计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57</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1,486.78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使用非财政拨款结余（含专用结余）</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结余分配</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年初结转和结余</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29</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年末结转和结余</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59</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167.75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总计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总计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注：1</w:t>
      </w:r>
      <w:r>
        <w:rPr>
          <w:rFonts w:hint="eastAsia" w:eastAsia="方正楷体_GBK" w:cs="方正楷体_GBK"/>
          <w:sz w:val="24"/>
          <w:szCs w:val="24"/>
          <w:lang w:val="en-US" w:eastAsia="zh-CN"/>
        </w:rPr>
        <w:t>．</w:t>
      </w:r>
      <w:r>
        <w:rPr>
          <w:rFonts w:hint="eastAsia" w:ascii="Times New Roman" w:hAnsi="Times New Roman" w:eastAsia="方正楷体_GBK" w:cs="方正楷体_GBK"/>
          <w:sz w:val="24"/>
          <w:szCs w:val="24"/>
        </w:rPr>
        <w:t>本表反映部门本年度的总收支和年末结转结余情况。</w:t>
      </w:r>
    </w:p>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    2</w:t>
      </w:r>
      <w:r>
        <w:rPr>
          <w:rFonts w:hint="eastAsia" w:eastAsia="方正楷体_GBK" w:cs="方正楷体_GBK"/>
          <w:sz w:val="24"/>
          <w:szCs w:val="24"/>
          <w:lang w:val="en-US" w:eastAsia="zh-CN"/>
        </w:rPr>
        <w:t>．</w:t>
      </w:r>
      <w:r>
        <w:rPr>
          <w:rFonts w:hint="eastAsia" w:ascii="Times New Roman" w:hAnsi="Times New Roman" w:eastAsia="方正楷体_GBK" w:cs="方正楷体_GBK"/>
          <w:sz w:val="24"/>
          <w:szCs w:val="24"/>
        </w:rPr>
        <w:t>本套报表金额单位转换时可能存在尾数误差。</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收入决算表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2</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900"/>
        <w:gridCol w:w="656"/>
        <w:gridCol w:w="2556"/>
        <w:gridCol w:w="1605"/>
        <w:gridCol w:w="1357"/>
        <w:gridCol w:w="1333"/>
        <w:gridCol w:w="1333"/>
        <w:gridCol w:w="1333"/>
        <w:gridCol w:w="1333"/>
        <w:gridCol w:w="1334"/>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5112"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160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本年收入</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1357"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财政拨款收入</w:t>
            </w:r>
          </w:p>
        </w:tc>
        <w:tc>
          <w:tcPr>
            <w:tcW w:w="133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上级补助收入</w:t>
            </w:r>
          </w:p>
        </w:tc>
        <w:tc>
          <w:tcPr>
            <w:tcW w:w="133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事业收入</w:t>
            </w:r>
          </w:p>
        </w:tc>
        <w:tc>
          <w:tcPr>
            <w:tcW w:w="133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经营收入</w:t>
            </w:r>
          </w:p>
        </w:tc>
        <w:tc>
          <w:tcPr>
            <w:tcW w:w="133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附属单位上缴收入</w:t>
            </w:r>
          </w:p>
        </w:tc>
        <w:tc>
          <w:tcPr>
            <w:tcW w:w="133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其他收入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2556"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功能分类科目编码</w:t>
            </w:r>
          </w:p>
        </w:tc>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160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57"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4"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kern w:val="0"/>
                <w:sz w:val="24"/>
                <w:szCs w:val="24"/>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5112"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160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1357"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133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133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133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c>
          <w:tcPr>
            <w:tcW w:w="133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6</w:t>
            </w:r>
          </w:p>
        </w:tc>
        <w:tc>
          <w:tcPr>
            <w:tcW w:w="133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5112"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1,654.53</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1,654.53</w:t>
            </w:r>
          </w:p>
        </w:tc>
        <w:tc>
          <w:tcPr>
            <w:tcW w:w="133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一般公共服务支出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1,535.77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1,535.77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市场监督管理事务</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1,535.77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1,535.77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2013808</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信息化建设</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1,100.00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1,100.00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2013850</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事业运行</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389.77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389.77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2013899</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其他市场监督管理事务</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教育支出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进修及培训</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2050803</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培训支出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社会保障和就业支出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50.27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50.27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行政事业单位养老支出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46.11</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46.11</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2080502</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事业单位离退休</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2080505</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机关事业单位基本养老保险缴费支出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33.23</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33.23</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4.16</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4.16</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2089999</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4.16</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4.16</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卫生健康支出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行政事业单位医疗</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2101102</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事业单位医疗</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住房保障支出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住房改革支出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2210201</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住房公积金</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注：本表反映部门本年度取得的各项收入情况。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3</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556"/>
        <w:gridCol w:w="3413"/>
        <w:gridCol w:w="1875"/>
        <w:gridCol w:w="1485"/>
        <w:gridCol w:w="1586"/>
        <w:gridCol w:w="1275"/>
        <w:gridCol w:w="904"/>
        <w:gridCol w:w="164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596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187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本年支出合计</w:t>
            </w:r>
          </w:p>
        </w:tc>
        <w:tc>
          <w:tcPr>
            <w:tcW w:w="148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基本支出</w:t>
            </w:r>
          </w:p>
        </w:tc>
        <w:tc>
          <w:tcPr>
            <w:tcW w:w="158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项目支出</w:t>
            </w:r>
          </w:p>
        </w:tc>
        <w:tc>
          <w:tcPr>
            <w:tcW w:w="127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上缴上级支出</w:t>
            </w:r>
          </w:p>
        </w:tc>
        <w:tc>
          <w:tcPr>
            <w:tcW w:w="90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经营支出</w:t>
            </w:r>
          </w:p>
        </w:tc>
        <w:tc>
          <w:tcPr>
            <w:tcW w:w="164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功能分类科目编码</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187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48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58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27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904"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64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596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187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148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158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127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90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c>
          <w:tcPr>
            <w:tcW w:w="164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596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1,486.78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438.98</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1,047.80</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一般公共服务支出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1,036.54</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市场监督管理事务</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1,036.54</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2013808</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信息化建设</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995.32</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995.32</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2013850</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事业运行</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2013899</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其他市场监督管理事务</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41.22</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41.22</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教育支出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进修及培训</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2050803</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培训支出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社会保障和就业支出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行政事业单位养老支出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46.07</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46.07</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2080502</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事业单位离退休</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2080505</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机关事业单位基本养老保险缴费支出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2089999</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卫生健康支出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行政事业单位医疗</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2101102</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事业单位医疗</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住房保障支出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住房改革支出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2210201</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住房公积金</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注：本表反映部门本年度各项支出情况。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财政拨款收入支出决算总表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4</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3705"/>
        <w:gridCol w:w="764"/>
        <w:gridCol w:w="1209"/>
        <w:gridCol w:w="3954"/>
        <w:gridCol w:w="531"/>
        <w:gridCol w:w="1094"/>
        <w:gridCol w:w="1275"/>
        <w:gridCol w:w="1197"/>
        <w:gridCol w:w="1011"/>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5678"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收     入</w:t>
            </w:r>
          </w:p>
        </w:tc>
        <w:tc>
          <w:tcPr>
            <w:tcW w:w="9062" w:type="dxa"/>
            <w:gridSpan w:val="6"/>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支     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370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76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行次</w:t>
            </w:r>
          </w:p>
        </w:tc>
        <w:tc>
          <w:tcPr>
            <w:tcW w:w="120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金额</w:t>
            </w:r>
          </w:p>
        </w:tc>
        <w:tc>
          <w:tcPr>
            <w:tcW w:w="395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531"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行次</w:t>
            </w:r>
          </w:p>
        </w:tc>
        <w:tc>
          <w:tcPr>
            <w:tcW w:w="1094" w:type="dxa"/>
            <w:vMerge w:val="restar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127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一般公共预算财政拨款</w:t>
            </w:r>
          </w:p>
        </w:tc>
        <w:tc>
          <w:tcPr>
            <w:tcW w:w="1197"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ind w:left="-105" w:leftChars="-50" w:right="-105" w:rightChars="-5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政府性基金预算财政拨款</w:t>
            </w:r>
          </w:p>
        </w:tc>
        <w:tc>
          <w:tcPr>
            <w:tcW w:w="1011"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ind w:left="-105" w:leftChars="-50" w:right="-105" w:rightChars="-5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10" w:hRule="atLeast"/>
          <w:tblHeader/>
          <w:jc w:val="center"/>
        </w:trPr>
        <w:tc>
          <w:tcPr>
            <w:tcW w:w="370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76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0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395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531"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094" w:type="dxa"/>
            <w:vMerge w:val="continue"/>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7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197"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011"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76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53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119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101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一、一般公共预算财政拨款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一、一般公共服务支出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二、政府性基金预算财政拨款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二、外交支出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34</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三、国有资本经营预算财政拨款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三、国防支出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四、公共安全支出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36</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五、教育支出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37</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六、科学技术支出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38</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7</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七、文化旅游体育与传媒支出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八、社会保障和就业支出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40</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九、卫生健康支出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十、节能环保支出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42</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十一、城乡社区支出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43</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十二、农林水支出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44</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十三、交通运输支出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45</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十四、资源勘探工业信息等支出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十五、商业服务业等支出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47</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十六、金融支出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48</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17</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十七、援助其他地区支出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18</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十八、自然资源海洋气象等支出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19</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十九、住房保障支出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51</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二十、粮油物资储备支出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52</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二十一、国有资本经营预算支出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53</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二十二、灾害防治及应急管理支出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54</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23</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二十三、其他支出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55</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24</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二十四、债务还本支出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56</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25</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二十五、债务付息支出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57</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26</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二十六、抗疫特别国债安排的支出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58</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本年收入合计</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27</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本年支出合计</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59</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1,486.78</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1,486.78</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年初财政拨款结转和结余</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28</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年末财政拨款结转和结余</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60</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167.75</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167.75</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一般公共预算财政拨款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29</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61</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政府性基金预算财政拨款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62</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国有资本经营预算财政拨款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63</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总计</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32</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总计</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64</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注：本表反映部门本年度一般公共预算财政拨款、政府性基金预算财政拨款和国有资本经营预算财政拨款的总收支和年末结转结余情况。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一般公共预算财政拨款支出决算表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5</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534"/>
        <w:gridCol w:w="4201"/>
        <w:gridCol w:w="2668"/>
        <w:gridCol w:w="2668"/>
        <w:gridCol w:w="266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6735"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8005"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功能分类科目编码</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小计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基本支出</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项目支出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6735"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735"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1,486.78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438.98</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1,047.80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一般公共服务支出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1,036.54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市场监督管理事务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1,036.54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2013808</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信息化建设</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995.32</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995.32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2013850</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事业运行</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2013899</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其他市场监督管理事务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41.22</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41.22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教育支出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进修及培训</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2050803</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培训支出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社会保障和就业支出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行政事业单位养老支出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46.07</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46.07</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2080502</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事业单位离退休</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2080505</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机关事业单位基本养老保险缴费支出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2089999</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卫生健康支出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行政事业单位医疗</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2101102</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事业单位医疗</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住房保障支出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住房改革支出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2210201</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住房公积金</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注：本表反映部门本年度一般公共预算财政拨款支出情况。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一般公共预算财政拨款基本支出决算明细表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6</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077"/>
        <w:gridCol w:w="2603"/>
        <w:gridCol w:w="1398"/>
        <w:gridCol w:w="825"/>
        <w:gridCol w:w="2645"/>
        <w:gridCol w:w="1290"/>
        <w:gridCol w:w="1077"/>
        <w:gridCol w:w="3005"/>
        <w:gridCol w:w="820"/>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5022"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人员经费</w:t>
            </w:r>
          </w:p>
        </w:tc>
        <w:tc>
          <w:tcPr>
            <w:tcW w:w="9555" w:type="dxa"/>
            <w:gridSpan w:val="6"/>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公用经费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106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经济分类科目编码</w:t>
            </w:r>
          </w:p>
        </w:tc>
        <w:tc>
          <w:tcPr>
            <w:tcW w:w="257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138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c>
          <w:tcPr>
            <w:tcW w:w="81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科目代码</w:t>
            </w:r>
          </w:p>
        </w:tc>
        <w:tc>
          <w:tcPr>
            <w:tcW w:w="261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经济分类科目编码</w:t>
            </w:r>
          </w:p>
        </w:tc>
        <w:tc>
          <w:tcPr>
            <w:tcW w:w="127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c>
          <w:tcPr>
            <w:tcW w:w="106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经济分类科目编码</w:t>
            </w:r>
          </w:p>
        </w:tc>
        <w:tc>
          <w:tcPr>
            <w:tcW w:w="2972"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810"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106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257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38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81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261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7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06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2972"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810"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工资福利支出</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362.52</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商品和服务支出</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63.58</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307</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债务利息及费用支出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基本工资</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82.18</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30201</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办公费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5.71</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30701</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国内债务付息</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30102</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津贴补贴</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15.95</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30202</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印刷费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5.92</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30702</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国外债务付息</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30103</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奖金</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30203</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咨询费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资本性支出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30106</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伙食补助费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9.83</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30204</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手续费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31001</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房屋建筑物购建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30107</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绩效工资</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154.86</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30205</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水费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31002</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办公设备购置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30108</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机关事业单位基本养老保险缴费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30206</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电费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31003</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专用设备购置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30109</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职业年金缴费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30207</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邮电费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0.50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31005</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基础设施建设</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30110</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职工基本医疗保险缴费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30208</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取暖费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31006</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大型修缮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公务员医疗补助缴费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30209</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物业管理费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31007</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信息网络及软件购置更新</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30112</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其他社会保障缴费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30211</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差旅费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8.63</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31008</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物资储备</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30113</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住房公积金</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30212</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因公出国（境）费用</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土地补偿</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30114</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医疗费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30213</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维修（护）费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1.62</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31010</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安置补助</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30199</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其他工资福利支出</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8.44</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30214</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租赁费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31011</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地上附着物和青苗补偿</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对个人和家庭的补助</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30215</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会议费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1.47</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31012</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拆迁补偿</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离休费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30216</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培训费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31013</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公务用车购置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30302</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退休费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10.48</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30217</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公务接待费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0.57</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其他交通工具购置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30303</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退职（役）费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30218</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专用材料费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31021</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文物和陈列品购置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30304</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抚恤金</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30224</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被装购置费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31022</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无形资产购置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30305</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生活补助</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30225</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专用燃料费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31099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其他资本性支出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30306</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救济费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30226</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劳务费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16.86</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30307</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医疗费补助</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30227</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委托业务费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39907</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国家赔偿费用支出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30308</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助学金</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30228</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工会经费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39908</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对民间非营利组织和群众性自治组织补贴</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30309</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奖励金</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30229</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福利费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39909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经常性赠与</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30310</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个人农业生产补贴</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30231</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公务用车运行维护费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39910</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资本性赠与</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30311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代缴社会保险费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30239</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其他交通费用</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0.48</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39999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30399</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其他对个人和家庭的补助</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2.40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30240</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税金及附加费用</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2972"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257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30299</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其他商品和服务支出</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12.82</w:t>
            </w:r>
          </w:p>
        </w:tc>
        <w:tc>
          <w:tcPr>
            <w:tcW w:w="106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2972"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63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人员经费合计</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375.40</w:t>
            </w:r>
          </w:p>
        </w:tc>
        <w:tc>
          <w:tcPr>
            <w:tcW w:w="8745" w:type="dxa"/>
            <w:gridSpan w:val="5"/>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公用经费合计</w:t>
            </w:r>
          </w:p>
        </w:tc>
        <w:tc>
          <w:tcPr>
            <w:tcW w:w="81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63.58</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黑体" w:cs="Times New Roman"/>
          <w:szCs w:val="21"/>
        </w:rPr>
      </w:pPr>
      <w:r>
        <w:rPr>
          <w:rFonts w:hint="eastAsia" w:ascii="Times New Roman" w:hAnsi="Times New Roman" w:eastAsia="方正楷体_GBK" w:cs="方正楷体_GBK"/>
          <w:sz w:val="24"/>
          <w:szCs w:val="24"/>
        </w:rPr>
        <w:t>注：本表反映部门本年度一般公共预算财政拨款基本支出明细情况。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政府性基金预算财政拨款收入支出决算表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7</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316"/>
        <w:gridCol w:w="2318"/>
        <w:gridCol w:w="1976"/>
        <w:gridCol w:w="1225"/>
        <w:gridCol w:w="1126"/>
        <w:gridCol w:w="1902"/>
        <w:gridCol w:w="1901"/>
        <w:gridCol w:w="197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4633"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0" w:type="auto"/>
            <w:vMerge w:val="restar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年初结转和结余</w:t>
            </w:r>
          </w:p>
        </w:tc>
        <w:tc>
          <w:tcPr>
            <w:tcW w:w="0" w:type="auto"/>
            <w:vMerge w:val="restar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本年收入</w:t>
            </w:r>
          </w:p>
        </w:tc>
        <w:tc>
          <w:tcPr>
            <w:tcW w:w="4747"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w:t>
            </w:r>
          </w:p>
        </w:tc>
        <w:tc>
          <w:tcPr>
            <w:tcW w:w="0" w:type="auto"/>
            <w:vMerge w:val="restar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科目代码</w:t>
            </w:r>
          </w:p>
        </w:tc>
        <w:tc>
          <w:tcPr>
            <w:tcW w:w="231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0" w:type="auto"/>
            <w:vMerge w:val="continue"/>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b/>
                <w:bCs/>
              </w:rPr>
            </w:pPr>
          </w:p>
        </w:tc>
        <w:tc>
          <w:tcPr>
            <w:tcW w:w="0" w:type="auto"/>
            <w:vMerge w:val="continue"/>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b/>
                <w:bCs/>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小计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基本支出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项目支出</w:t>
            </w:r>
          </w:p>
        </w:tc>
        <w:tc>
          <w:tcPr>
            <w:tcW w:w="0" w:type="auto"/>
            <w:vMerge w:val="continue"/>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0" w:type="auto"/>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0" w:type="auto"/>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注：本表反映部门本年度政府性基金预算财政拨款收入、支出及结转和结余情况。</w:t>
      </w:r>
    </w:p>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说明：我单位没有政府性基金收入，也没有使用政府性基金安排的支出，故本表无数据。</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default" w:ascii="Times New Roman" w:hAnsi="Times New Roman" w:eastAsia="黑体" w:cs="Times New Roman"/>
          <w:szCs w:val="21"/>
          <w:lang w:val="en-US" w:eastAsia="zh-CN"/>
        </w:rPr>
      </w:pPr>
      <w:r>
        <w:rPr>
          <w:rFonts w:hint="eastAsia" w:eastAsia="黑体" w:cs="Times New Roman"/>
          <w:szCs w:val="21"/>
          <w:lang w:val="en-US" w:eastAsia="zh-CN"/>
        </w:rPr>
        <w:t xml:space="preserve">  </w:t>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国有资本经营预算财政拨款支出决算表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8</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640"/>
        <w:gridCol w:w="5739"/>
        <w:gridCol w:w="2453"/>
        <w:gridCol w:w="2454"/>
        <w:gridCol w:w="2454"/>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7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7361"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4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科目代码</w:t>
            </w:r>
          </w:p>
        </w:tc>
        <w:tc>
          <w:tcPr>
            <w:tcW w:w="573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245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基本支出</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项目支出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7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245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7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245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注：本表反映部门本年度国有资本经营预算财政拨款支出情况。</w:t>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p>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黑体" w:cs="Times New Roman"/>
          <w:szCs w:val="21"/>
        </w:rPr>
      </w:pPr>
      <w:r>
        <w:rPr>
          <w:rFonts w:hint="eastAsia" w:ascii="Times New Roman" w:hAnsi="Times New Roman" w:eastAsia="方正楷体_GBK" w:cs="方正楷体_GBK"/>
          <w:sz w:val="24"/>
          <w:szCs w:val="24"/>
        </w:rPr>
        <w:t>说明：我单位没有使用国有资本经营预算安排的支出，故本表无数据。</w:t>
      </w:r>
      <w:r>
        <w:rPr>
          <w:rFonts w:hint="eastAsia" w:ascii="Times New Roman" w:hAnsi="Times New Roman" w:eastAsia="方正楷体_GBK" w:cs="方正楷体_GBK"/>
          <w:sz w:val="24"/>
          <w:szCs w:val="24"/>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财政拨款“三公”经费支出决算表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w:t>
      </w:r>
      <w:r>
        <w:rPr>
          <w:rFonts w:hint="eastAsia" w:eastAsia="方正楷体_GBK" w:cs="方正楷体_GBK"/>
          <w:sz w:val="24"/>
          <w:szCs w:val="24"/>
          <w:lang w:val="en-US" w:eastAsia="zh-CN"/>
        </w:rPr>
        <w:t>09</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221"/>
        <w:gridCol w:w="1238"/>
        <w:gridCol w:w="1269"/>
        <w:gridCol w:w="1269"/>
        <w:gridCol w:w="1210"/>
        <w:gridCol w:w="1210"/>
        <w:gridCol w:w="1221"/>
        <w:gridCol w:w="1238"/>
        <w:gridCol w:w="1221"/>
        <w:gridCol w:w="1221"/>
        <w:gridCol w:w="1211"/>
        <w:gridCol w:w="1211"/>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614" w:type="dxa"/>
            <w:gridSpan w:val="6"/>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预算数</w:t>
            </w:r>
          </w:p>
        </w:tc>
        <w:tc>
          <w:tcPr>
            <w:tcW w:w="7614" w:type="dxa"/>
            <w:gridSpan w:val="6"/>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因公出国（境）费</w:t>
            </w:r>
          </w:p>
        </w:tc>
        <w:tc>
          <w:tcPr>
            <w:tcW w:w="380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公务用车购置及运行维护费</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公务接待费</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因公出国（境）费</w:t>
            </w:r>
          </w:p>
        </w:tc>
        <w:tc>
          <w:tcPr>
            <w:tcW w:w="380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公务用车购置及运行维护费</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公务接待费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小计</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公务用车购置费</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公务用车运行维护费</w:t>
            </w: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小计</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公务用车购置费</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公务用车运行维护费</w:t>
            </w: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6</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7</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8</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9</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10</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11</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0.00 </w:t>
            </w:r>
          </w:p>
        </w:tc>
        <w:tc>
          <w:tcPr>
            <w:tcW w:w="12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30.00</w:t>
            </w:r>
          </w:p>
        </w:tc>
        <w:tc>
          <w:tcPr>
            <w:tcW w:w="12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25.00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27.01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26.44</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24.98</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1.46</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0.57</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ascii="Times New Roman" w:hAnsi="Times New Roman" w:cs="Times New Roman"/>
          <w:sz w:val="72"/>
          <w:szCs w:val="72"/>
        </w:rPr>
        <w:sectPr>
          <w:pgSz w:w="16838" w:h="11906" w:orient="landscape"/>
          <w:pgMar w:top="1474" w:right="1474" w:bottom="1474" w:left="1474" w:header="850" w:footer="1134"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Times New Roman" w:hAnsi="Times New Roman" w:eastAsia="方正楷体_GBK" w:cs="方正楷体_GBK"/>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ascii="Times New Roman" w:hAnsi="Times New Roman" w:eastAsia="黑体" w:cs="Times New Roman"/>
          <w:szCs w:val="21"/>
        </w:rPr>
        <w:br w:type="page"/>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第三部分</w:t>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w:t>
      </w:r>
      <w:r>
        <w:rPr>
          <w:rFonts w:hint="eastAsia" w:ascii="方正小标宋_GBK" w:hAnsi="方正小标宋_GBK" w:eastAsia="方正小标宋_GBK" w:cs="方正小标宋_GBK"/>
          <w:sz w:val="44"/>
          <w:szCs w:val="44"/>
          <w:lang w:eastAsia="zh-CN"/>
        </w:rPr>
        <w:t>单位</w:t>
      </w:r>
      <w:r>
        <w:rPr>
          <w:rFonts w:hint="eastAsia" w:ascii="方正小标宋_GBK" w:hAnsi="方正小标宋_GBK" w:eastAsia="方正小标宋_GBK" w:cs="方正小标宋_GBK"/>
          <w:sz w:val="44"/>
          <w:szCs w:val="44"/>
        </w:rPr>
        <w:t>决算情况说明</w:t>
      </w:r>
    </w:p>
    <w:p>
      <w:pPr>
        <w:keepNext w:val="0"/>
        <w:keepLines w:val="0"/>
        <w:pageBreakBefore w:val="0"/>
        <w:widowControl w:val="0"/>
        <w:kinsoku/>
        <w:wordWrap/>
        <w:overflowPunct/>
        <w:topLinePunct/>
        <w:autoSpaceDE/>
        <w:autoSpaceDN/>
        <w:bidi w:val="0"/>
        <w:adjustRightInd w:val="0"/>
        <w:snapToGrid w:val="0"/>
        <w:spacing w:line="600" w:lineRule="exact"/>
        <w:jc w:val="left"/>
        <w:rPr>
          <w:rFonts w:ascii="Times New Roman" w:hAnsi="Times New Roman" w:cs="Times New Roman"/>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一、收入支出决算总体情况说明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2024年度收、支总计1,654.53万元。与上年相比</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增加</w:t>
      </w:r>
      <w:r>
        <w:rPr>
          <w:rFonts w:hint="eastAsia" w:ascii="Times New Roman" w:hAnsi="Times New Roman" w:eastAsia="方正仿宋_GBK" w:cs="方正仿宋_GBK"/>
          <w:sz w:val="32"/>
          <w:szCs w:val="32"/>
          <w:lang w:val="en-US" w:eastAsia="zh-CN"/>
        </w:rPr>
        <w:t>219.54</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15.30</w:t>
      </w:r>
      <w:r>
        <w:rPr>
          <w:rFonts w:hint="eastAsia" w:ascii="Times New Roman" w:hAnsi="Times New Roman" w:eastAsia="方正仿宋_GBK" w:cs="方正仿宋_GBK"/>
          <w:sz w:val="32"/>
          <w:szCs w:val="32"/>
        </w:rPr>
        <w:t>%，主要是因为信息网络系统维护及建设经费项目增加。</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二、收入决算情况说明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2024年度收入合计1,654.53万元，其中：财政拨款收入1,654.53万元，占</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%；上级补助收入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%；事业收入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%；经营收入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%；附属单位上缴收入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%；其他收入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三、支出决算情况说明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2024年度支出合计1,486.78万元，其中：基本支出438.98</w:t>
      </w: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29.53</w:t>
      </w:r>
      <w:r>
        <w:rPr>
          <w:rFonts w:hint="eastAsia" w:ascii="Times New Roman" w:hAnsi="Times New Roman" w:eastAsia="方正仿宋_GBK" w:cs="方正仿宋_GBK"/>
          <w:sz w:val="32"/>
          <w:szCs w:val="32"/>
        </w:rPr>
        <w:t>%；项目支出1,047.80万元，占</w:t>
      </w:r>
      <w:r>
        <w:rPr>
          <w:rFonts w:hint="eastAsia" w:ascii="Times New Roman" w:hAnsi="Times New Roman" w:eastAsia="方正仿宋_GBK" w:cs="方正仿宋_GBK"/>
          <w:sz w:val="32"/>
          <w:szCs w:val="32"/>
          <w:lang w:val="en-US" w:eastAsia="zh-CN"/>
        </w:rPr>
        <w:t>70.47</w:t>
      </w:r>
      <w:r>
        <w:rPr>
          <w:rFonts w:hint="eastAsia" w:ascii="Times New Roman" w:hAnsi="Times New Roman" w:eastAsia="方正仿宋_GBK" w:cs="方正仿宋_GBK"/>
          <w:sz w:val="32"/>
          <w:szCs w:val="32"/>
        </w:rPr>
        <w:t>%；上缴上级支出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%；经营支出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%；对附属单位补助支出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四、财政拨款收入支出决算总体情况说明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2024年度财政拨款收、支总计1,654.53万元，与上年相比，增加</w:t>
      </w:r>
      <w:r>
        <w:rPr>
          <w:rFonts w:hint="eastAsia" w:ascii="Times New Roman" w:hAnsi="Times New Roman" w:eastAsia="方正仿宋_GBK" w:cs="方正仿宋_GBK"/>
          <w:sz w:val="32"/>
          <w:szCs w:val="32"/>
          <w:lang w:val="en-US" w:eastAsia="zh-CN"/>
        </w:rPr>
        <w:t>219.54</w:t>
      </w:r>
      <w:r>
        <w:rPr>
          <w:rFonts w:hint="eastAsia" w:ascii="Times New Roman" w:hAnsi="Times New Roman" w:eastAsia="方正仿宋_GBK" w:cs="方正仿宋_GBK"/>
          <w:sz w:val="32"/>
          <w:szCs w:val="32"/>
        </w:rPr>
        <w:t>万元</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增长</w:t>
      </w:r>
      <w:r>
        <w:rPr>
          <w:rFonts w:hint="eastAsia" w:ascii="Times New Roman" w:hAnsi="Times New Roman" w:eastAsia="方正仿宋_GBK" w:cs="方正仿宋_GBK"/>
          <w:sz w:val="32"/>
          <w:szCs w:val="32"/>
          <w:lang w:val="en-US" w:eastAsia="zh-CN"/>
        </w:rPr>
        <w:t>15.30</w:t>
      </w:r>
      <w:r>
        <w:rPr>
          <w:rFonts w:hint="eastAsia" w:ascii="Times New Roman" w:hAnsi="Times New Roman" w:eastAsia="方正仿宋_GBK" w:cs="方正仿宋_GBK"/>
          <w:sz w:val="32"/>
          <w:szCs w:val="32"/>
        </w:rPr>
        <w:t>%，主要是因为信息网络系统维护及建设经费项目增加。</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五、一般公共预算财政拨款支出决算情况说明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color w:val="auto"/>
          <w:kern w:val="2"/>
          <w:sz w:val="32"/>
          <w:szCs w:val="32"/>
          <w:highlight w:val="none"/>
        </w:rPr>
      </w:pPr>
      <w:r>
        <w:rPr>
          <w:rFonts w:hint="eastAsia" w:ascii="方正楷体_GBK" w:hAnsi="方正楷体_GBK" w:eastAsia="方正楷体_GBK" w:cs="方正楷体_GBK"/>
          <w:b/>
          <w:bCs/>
          <w:color w:val="auto"/>
          <w:kern w:val="2"/>
          <w:sz w:val="32"/>
          <w:szCs w:val="32"/>
          <w:highlight w:val="none"/>
        </w:rPr>
        <w:t>（一）一般公共预算财政拨款支出决算总体情况</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2024年度财政拨款支出1,486.78万元，占本年支出合计的</w:t>
      </w:r>
      <w:r>
        <w:rPr>
          <w:rFonts w:hint="eastAsia" w:ascii="Times New Roman" w:hAnsi="Times New Roman" w:eastAsia="方正仿宋_GBK" w:cs="方正仿宋_GBK"/>
          <w:sz w:val="32"/>
          <w:szCs w:val="32"/>
          <w:lang w:val="en-US" w:eastAsia="zh-CN"/>
        </w:rPr>
        <w:t>89.86</w:t>
      </w:r>
      <w:r>
        <w:rPr>
          <w:rFonts w:hint="eastAsia" w:ascii="Times New Roman" w:hAnsi="Times New Roman" w:eastAsia="方正仿宋_GBK" w:cs="方正仿宋_GBK"/>
          <w:sz w:val="32"/>
          <w:szCs w:val="32"/>
        </w:rPr>
        <w:t>%，与上年相比，财政拨款支出增加</w:t>
      </w:r>
      <w:r>
        <w:rPr>
          <w:rFonts w:hint="eastAsia" w:ascii="Times New Roman" w:hAnsi="Times New Roman" w:eastAsia="方正仿宋_GBK" w:cs="方正仿宋_GBK"/>
          <w:sz w:val="32"/>
          <w:szCs w:val="32"/>
          <w:lang w:val="en-US" w:eastAsia="zh-CN"/>
        </w:rPr>
        <w:t>95.64</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6.87</w:t>
      </w:r>
      <w:r>
        <w:rPr>
          <w:rFonts w:hint="eastAsia" w:ascii="Times New Roman" w:hAnsi="Times New Roman" w:eastAsia="方正仿宋_GBK" w:cs="方正仿宋_GBK"/>
          <w:sz w:val="32"/>
          <w:szCs w:val="32"/>
        </w:rPr>
        <w:t>%，主要是因为信息网络系统维护及建设经费项目增加。</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color w:val="auto"/>
          <w:kern w:val="2"/>
          <w:sz w:val="32"/>
          <w:szCs w:val="32"/>
          <w:highlight w:val="none"/>
        </w:rPr>
      </w:pPr>
      <w:r>
        <w:rPr>
          <w:rFonts w:hint="eastAsia" w:ascii="方正楷体_GBK" w:hAnsi="方正楷体_GBK" w:eastAsia="方正楷体_GBK" w:cs="方正楷体_GBK"/>
          <w:b/>
          <w:bCs/>
          <w:color w:val="auto"/>
          <w:kern w:val="2"/>
          <w:sz w:val="32"/>
          <w:szCs w:val="32"/>
          <w:highlight w:val="none"/>
        </w:rPr>
        <w:t>（二）一般公共预算财政拨款支出决算结构情况</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2024年度财政拨款支出1,486.78万元，主要用于以下方面：一般公共服务（类）支出1,371.38万元，占</w:t>
      </w:r>
      <w:r>
        <w:rPr>
          <w:rFonts w:hint="eastAsia" w:ascii="Times New Roman" w:hAnsi="Times New Roman" w:eastAsia="方正仿宋_GBK" w:cs="方正仿宋_GBK"/>
          <w:sz w:val="32"/>
          <w:szCs w:val="32"/>
          <w:lang w:val="en-US" w:eastAsia="zh-CN"/>
        </w:rPr>
        <w:t>92.24</w:t>
      </w:r>
      <w:r>
        <w:rPr>
          <w:rFonts w:hint="eastAsia" w:ascii="Times New Roman" w:hAnsi="Times New Roman" w:eastAsia="方正仿宋_GBK" w:cs="方正仿宋_GBK"/>
          <w:sz w:val="32"/>
          <w:szCs w:val="32"/>
        </w:rPr>
        <w:t>%；教育（类）支出11.26万元，占</w:t>
      </w:r>
      <w:r>
        <w:rPr>
          <w:rFonts w:hint="eastAsia" w:ascii="Times New Roman" w:hAnsi="Times New Roman" w:eastAsia="方正仿宋_GBK" w:cs="方正仿宋_GBK"/>
          <w:sz w:val="32"/>
          <w:szCs w:val="32"/>
          <w:lang w:val="en-US" w:eastAsia="zh-CN"/>
        </w:rPr>
        <w:t>0.76</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；社会保障和就业（类）支出49.65万元，占</w:t>
      </w:r>
      <w:r>
        <w:rPr>
          <w:rFonts w:hint="eastAsia" w:ascii="Times New Roman" w:hAnsi="Times New Roman" w:eastAsia="方正仿宋_GBK" w:cs="方正仿宋_GBK"/>
          <w:sz w:val="32"/>
          <w:szCs w:val="32"/>
          <w:lang w:val="en-US" w:eastAsia="zh-CN"/>
        </w:rPr>
        <w:t>3.34</w:t>
      </w:r>
      <w:r>
        <w:rPr>
          <w:rFonts w:hint="eastAsia" w:ascii="Times New Roman" w:hAnsi="Times New Roman" w:eastAsia="方正仿宋_GBK" w:cs="方正仿宋_GBK"/>
          <w:sz w:val="32"/>
          <w:szCs w:val="32"/>
          <w:lang w:eastAsia="zh-CN"/>
        </w:rPr>
        <w:t>%；卫生健康（类）支出21.02万元，占</w:t>
      </w:r>
      <w:r>
        <w:rPr>
          <w:rFonts w:hint="eastAsia" w:ascii="Times New Roman" w:hAnsi="Times New Roman" w:eastAsia="方正仿宋_GBK" w:cs="方正仿宋_GBK"/>
          <w:sz w:val="32"/>
          <w:szCs w:val="32"/>
          <w:lang w:val="en-US" w:eastAsia="zh-CN"/>
        </w:rPr>
        <w:t>1.41</w:t>
      </w:r>
      <w:r>
        <w:rPr>
          <w:rFonts w:hint="eastAsia" w:ascii="Times New Roman" w:hAnsi="Times New Roman" w:eastAsia="方正仿宋_GBK" w:cs="方正仿宋_GBK"/>
          <w:sz w:val="32"/>
          <w:szCs w:val="32"/>
          <w:lang w:eastAsia="zh-CN"/>
        </w:rPr>
        <w:t>%；住房保障（类）支出33.47万元，占</w:t>
      </w:r>
      <w:r>
        <w:rPr>
          <w:rFonts w:hint="eastAsia" w:ascii="Times New Roman" w:hAnsi="Times New Roman" w:eastAsia="方正仿宋_GBK" w:cs="方正仿宋_GBK"/>
          <w:sz w:val="32"/>
          <w:szCs w:val="32"/>
          <w:lang w:val="en-US" w:eastAsia="zh-CN"/>
        </w:rPr>
        <w:t>2.25</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color w:val="auto"/>
          <w:kern w:val="2"/>
          <w:sz w:val="32"/>
          <w:szCs w:val="32"/>
          <w:highlight w:val="none"/>
        </w:rPr>
      </w:pPr>
      <w:r>
        <w:rPr>
          <w:rFonts w:hint="eastAsia" w:ascii="方正楷体_GBK" w:hAnsi="方正楷体_GBK" w:eastAsia="方正楷体_GBK" w:cs="方正楷体_GBK"/>
          <w:b/>
          <w:bCs/>
          <w:color w:val="auto"/>
          <w:kern w:val="2"/>
          <w:sz w:val="32"/>
          <w:szCs w:val="32"/>
          <w:highlight w:val="none"/>
        </w:rPr>
        <w:t>（三）一般公共预算财政拨款支出决算具体情况</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2024年度财政拨款支出年初预算数为1,647.53万元，支出决算数为1,486.78万元，完成年初预算的</w:t>
      </w:r>
      <w:r>
        <w:rPr>
          <w:rFonts w:hint="eastAsia" w:ascii="Times New Roman" w:hAnsi="Times New Roman" w:eastAsia="方正仿宋_GBK" w:cs="方正仿宋_GBK"/>
          <w:sz w:val="32"/>
          <w:szCs w:val="32"/>
          <w:lang w:val="en-US" w:eastAsia="zh-CN"/>
        </w:rPr>
        <w:t>90.24</w:t>
      </w:r>
      <w:r>
        <w:rPr>
          <w:rFonts w:hint="eastAsia" w:ascii="Times New Roman" w:hAnsi="Times New Roman" w:eastAsia="方正仿宋_GBK" w:cs="方正仿宋_GBK"/>
          <w:sz w:val="32"/>
          <w:szCs w:val="32"/>
        </w:rPr>
        <w:t>%，其中：</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一般公共服务（类）市场监督管理事务（款）信息化建设（项）。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年初预算为1,100万元，支出决算为995.32万元，完成年初预算的</w:t>
      </w:r>
      <w:r>
        <w:rPr>
          <w:rFonts w:hint="eastAsia" w:ascii="Times New Roman" w:hAnsi="Times New Roman" w:eastAsia="方正仿宋_GBK" w:cs="方正仿宋_GBK"/>
          <w:sz w:val="32"/>
          <w:szCs w:val="32"/>
          <w:lang w:val="en-US" w:eastAsia="zh-CN"/>
        </w:rPr>
        <w:t>90.48</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本年有</w:t>
      </w:r>
      <w:r>
        <w:rPr>
          <w:rFonts w:hint="eastAsia" w:ascii="Times New Roman" w:hAnsi="Times New Roman" w:eastAsia="方正仿宋_GBK" w:cs="方正仿宋_GBK"/>
          <w:sz w:val="32"/>
          <w:szCs w:val="32"/>
          <w:lang w:val="en-US" w:eastAsia="zh-CN"/>
        </w:rPr>
        <w:t>104.68万元信息化项目已采购但暂未支付，已于2025年支付完毕。</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一般公共服务（类）市场监督管理事务（款）事业运行（项）。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年初预算为382.77万元，支出决算为334.84万元，完成年初预算的</w:t>
      </w:r>
      <w:r>
        <w:rPr>
          <w:rFonts w:hint="eastAsia" w:ascii="Times New Roman" w:hAnsi="Times New Roman" w:eastAsia="方正仿宋_GBK" w:cs="方正仿宋_GBK"/>
          <w:sz w:val="32"/>
          <w:szCs w:val="32"/>
          <w:lang w:val="en-US" w:eastAsia="zh-CN"/>
        </w:rPr>
        <w:t>87.48</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本年按照厉行节约要求，从严控制办公费、维修（护）费和差旅费等费用开支，办公费、维修（护）费和差旅费等费用有结余。</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一般公共服务（类）市场监督管理事务（款）其他市场监督管理事务（项）。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46</w:t>
      </w:r>
      <w:r>
        <w:rPr>
          <w:rFonts w:hint="eastAsia" w:ascii="Times New Roman" w:hAnsi="Times New Roman" w:eastAsia="方正仿宋_GBK" w:cs="方正仿宋_GBK"/>
          <w:sz w:val="32"/>
          <w:szCs w:val="32"/>
        </w:rPr>
        <w:t>万元，支出决算为41.22万元，完成年初预算的</w:t>
      </w:r>
      <w:r>
        <w:rPr>
          <w:rFonts w:hint="eastAsia" w:ascii="Times New Roman" w:hAnsi="Times New Roman" w:eastAsia="方正仿宋_GBK" w:cs="方正仿宋_GBK"/>
          <w:sz w:val="32"/>
          <w:szCs w:val="32"/>
          <w:lang w:val="en-US" w:eastAsia="zh-CN"/>
        </w:rPr>
        <w:t>89.61</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本年仅采购一台办公设备，办公设备购置费有结余；本年新购置</w:t>
      </w:r>
      <w:r>
        <w:rPr>
          <w:rFonts w:hint="eastAsia" w:ascii="Times New Roman" w:hAnsi="Times New Roman" w:eastAsia="方正仿宋_GBK" w:cs="方正仿宋_GBK"/>
          <w:sz w:val="32"/>
          <w:szCs w:val="32"/>
          <w:lang w:val="en-US" w:eastAsia="zh-CN"/>
        </w:rPr>
        <w:t>一台</w:t>
      </w:r>
      <w:r>
        <w:rPr>
          <w:rFonts w:hint="eastAsia" w:ascii="Times New Roman" w:hAnsi="Times New Roman" w:eastAsia="方正仿宋_GBK" w:cs="方正仿宋_GBK"/>
          <w:sz w:val="32"/>
          <w:szCs w:val="32"/>
          <w:lang w:eastAsia="zh-CN"/>
        </w:rPr>
        <w:t>混动公务用车，油费、维修费等相关费用较少，公务用车运行维护费有结余。</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4．</w:t>
      </w:r>
      <w:r>
        <w:rPr>
          <w:rFonts w:hint="eastAsia" w:ascii="Times New Roman" w:hAnsi="Times New Roman" w:eastAsia="方正仿宋_GBK" w:cs="方正仿宋_GBK"/>
          <w:sz w:val="32"/>
          <w:szCs w:val="32"/>
        </w:rPr>
        <w:t>教育支出（类）进修及培训（款）培训支出（项）。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14</w:t>
      </w:r>
      <w:r>
        <w:rPr>
          <w:rFonts w:hint="eastAsia" w:ascii="Times New Roman" w:hAnsi="Times New Roman" w:eastAsia="方正仿宋_GBK" w:cs="方正仿宋_GBK"/>
          <w:sz w:val="32"/>
          <w:szCs w:val="32"/>
        </w:rPr>
        <w:t>万元，支出决算为11.26万元，完成年初预算的</w:t>
      </w:r>
      <w:r>
        <w:rPr>
          <w:rFonts w:hint="eastAsia" w:ascii="Times New Roman" w:hAnsi="Times New Roman" w:eastAsia="方正仿宋_GBK" w:cs="方正仿宋_GBK"/>
          <w:sz w:val="32"/>
          <w:szCs w:val="32"/>
          <w:lang w:val="en-US" w:eastAsia="zh-CN"/>
        </w:rPr>
        <w:t>80.43</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本年全省信息化业务培训实际天数少于预算天数。</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5．</w:t>
      </w:r>
      <w:r>
        <w:rPr>
          <w:rFonts w:hint="eastAsia" w:ascii="Times New Roman" w:hAnsi="Times New Roman" w:eastAsia="方正仿宋_GBK" w:cs="方正仿宋_GBK"/>
          <w:sz w:val="32"/>
          <w:szCs w:val="32"/>
        </w:rPr>
        <w:t>社会保障和就业支出（类）行政事业单位养老支出（款）  事业单位离退休（项）。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12.88</w:t>
      </w:r>
      <w:r>
        <w:rPr>
          <w:rFonts w:hint="eastAsia" w:ascii="Times New Roman" w:hAnsi="Times New Roman" w:eastAsia="方正仿宋_GBK" w:cs="方正仿宋_GBK"/>
          <w:sz w:val="32"/>
          <w:szCs w:val="32"/>
        </w:rPr>
        <w:t>万元，支出决算为12.88万元，完成年初预算的</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%，决算数</w:t>
      </w:r>
      <w:r>
        <w:rPr>
          <w:rFonts w:hint="eastAsia" w:ascii="Times New Roman" w:hAnsi="Times New Roman" w:eastAsia="方正仿宋_GBK" w:cs="方正仿宋_GBK"/>
          <w:sz w:val="32"/>
          <w:szCs w:val="32"/>
          <w:lang w:eastAsia="zh-CN"/>
        </w:rPr>
        <w:t>等于</w:t>
      </w:r>
      <w:r>
        <w:rPr>
          <w:rFonts w:hint="eastAsia" w:ascii="Times New Roman" w:hAnsi="Times New Roman" w:eastAsia="方正仿宋_GBK" w:cs="方正仿宋_GBK"/>
          <w:sz w:val="32"/>
          <w:szCs w:val="32"/>
        </w:rPr>
        <w:t>年初预算数的主要原因是：</w:t>
      </w:r>
      <w:r>
        <w:rPr>
          <w:rFonts w:hint="eastAsia" w:ascii="Times New Roman" w:hAnsi="Times New Roman" w:eastAsia="方正仿宋_GBK" w:cs="方正仿宋_GBK"/>
          <w:sz w:val="32"/>
          <w:szCs w:val="32"/>
          <w:lang w:eastAsia="zh-CN"/>
        </w:rPr>
        <w:t>本年</w:t>
      </w:r>
      <w:r>
        <w:rPr>
          <w:rFonts w:hint="eastAsia" w:ascii="Times New Roman" w:hAnsi="Times New Roman" w:eastAsia="方正仿宋_GBK" w:cs="方正仿宋_GBK"/>
          <w:sz w:val="32"/>
          <w:szCs w:val="32"/>
        </w:rPr>
        <w:t>收支基本持平</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6．</w:t>
      </w:r>
      <w:r>
        <w:rPr>
          <w:rFonts w:hint="eastAsia" w:ascii="Times New Roman" w:hAnsi="Times New Roman" w:eastAsia="方正仿宋_GBK" w:cs="方正仿宋_GBK"/>
          <w:sz w:val="32"/>
          <w:szCs w:val="32"/>
        </w:rPr>
        <w:t>社会保障和就业支出（类）行政事业单位养老支出（款）   机关事业单位基本养老保险缴费支出（项）。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33.23</w:t>
      </w:r>
      <w:r>
        <w:rPr>
          <w:rFonts w:hint="eastAsia" w:ascii="Times New Roman" w:hAnsi="Times New Roman" w:eastAsia="方正仿宋_GBK" w:cs="方正仿宋_GBK"/>
          <w:sz w:val="32"/>
          <w:szCs w:val="32"/>
        </w:rPr>
        <w:t>万元，支出决算为33.19万元，完成年初预算的</w:t>
      </w:r>
      <w:r>
        <w:rPr>
          <w:rFonts w:hint="eastAsia" w:ascii="Times New Roman" w:hAnsi="Times New Roman" w:eastAsia="方正仿宋_GBK" w:cs="方正仿宋_GBK"/>
          <w:sz w:val="32"/>
          <w:szCs w:val="32"/>
          <w:lang w:val="en-US" w:eastAsia="zh-CN"/>
        </w:rPr>
        <w:t>99.88</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w:t>
      </w:r>
      <w:r>
        <w:rPr>
          <w:rFonts w:hint="eastAsia" w:ascii="Times New Roman" w:hAnsi="Times New Roman" w:eastAsia="方正仿宋_GBK" w:cs="方正仿宋_GBK"/>
          <w:sz w:val="32"/>
          <w:szCs w:val="32"/>
          <w:lang w:val="en-US" w:eastAsia="zh-CN"/>
        </w:rPr>
        <w:t>8月</w:t>
      </w:r>
      <w:r>
        <w:rPr>
          <w:rFonts w:hint="eastAsia" w:ascii="Times New Roman" w:hAnsi="Times New Roman" w:eastAsia="方正仿宋_GBK" w:cs="方正仿宋_GBK"/>
          <w:sz w:val="32"/>
          <w:szCs w:val="32"/>
          <w:lang w:eastAsia="zh-CN"/>
        </w:rPr>
        <w:t>调出在职人员</w:t>
      </w:r>
      <w:r>
        <w:rPr>
          <w:rFonts w:hint="eastAsia" w:ascii="Times New Roman" w:hAnsi="Times New Roman" w:eastAsia="方正仿宋_GBK" w:cs="方正仿宋_GBK"/>
          <w:sz w:val="32"/>
          <w:szCs w:val="32"/>
          <w:lang w:val="en-US" w:eastAsia="zh-CN"/>
        </w:rPr>
        <w:t>1名，社会保障类费用减少。</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7．</w:t>
      </w:r>
      <w:r>
        <w:rPr>
          <w:rFonts w:hint="eastAsia" w:ascii="Times New Roman" w:hAnsi="Times New Roman" w:eastAsia="方正仿宋_GBK" w:cs="方正仿宋_GBK"/>
          <w:sz w:val="32"/>
          <w:szCs w:val="32"/>
        </w:rPr>
        <w:t>社会保障和就业支出（类）其他社会保障和就业支出（款）  其他社会保障和就业支出（项）。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4.16</w:t>
      </w:r>
      <w:r>
        <w:rPr>
          <w:rFonts w:hint="eastAsia" w:ascii="Times New Roman" w:hAnsi="Times New Roman" w:eastAsia="方正仿宋_GBK" w:cs="方正仿宋_GBK"/>
          <w:sz w:val="32"/>
          <w:szCs w:val="32"/>
        </w:rPr>
        <w:t>万元，支出决算为3.5</w:t>
      </w:r>
      <w:r>
        <w:rPr>
          <w:rFonts w:hint="eastAsia" w:ascii="Times New Roman" w:hAnsi="Times New Roman" w:eastAsia="方正仿宋_GBK" w:cs="方正仿宋_GBK"/>
          <w:sz w:val="32"/>
          <w:szCs w:val="32"/>
          <w:lang w:val="en-US" w:eastAsia="zh-CN"/>
        </w:rPr>
        <w:t>8</w:t>
      </w:r>
      <w:r>
        <w:rPr>
          <w:rFonts w:hint="eastAsia" w:ascii="Times New Roman" w:hAnsi="Times New Roman" w:eastAsia="方正仿宋_GBK" w:cs="方正仿宋_GBK"/>
          <w:sz w:val="32"/>
          <w:szCs w:val="32"/>
        </w:rPr>
        <w:t>万元，完成年初预算的</w:t>
      </w:r>
      <w:r>
        <w:rPr>
          <w:rFonts w:hint="eastAsia" w:ascii="Times New Roman" w:hAnsi="Times New Roman" w:eastAsia="方正仿宋_GBK" w:cs="方正仿宋_GBK"/>
          <w:sz w:val="32"/>
          <w:szCs w:val="32"/>
          <w:lang w:val="en-US" w:eastAsia="zh-CN"/>
        </w:rPr>
        <w:t>86.06</w:t>
      </w:r>
      <w:r>
        <w:rPr>
          <w:rFonts w:hint="eastAsia" w:ascii="Times New Roman" w:hAnsi="Times New Roman" w:eastAsia="方正仿宋_GBK" w:cs="方正仿宋_GBK"/>
          <w:sz w:val="32"/>
          <w:szCs w:val="32"/>
        </w:rPr>
        <w:t>%，决算数小于年初预算数的主要原因是：本年8月调出在职人员1名，社会保障类费用减少。</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8．</w:t>
      </w:r>
      <w:r>
        <w:rPr>
          <w:rFonts w:hint="eastAsia" w:ascii="Times New Roman" w:hAnsi="Times New Roman" w:eastAsia="方正仿宋_GBK" w:cs="方正仿宋_GBK"/>
          <w:sz w:val="32"/>
          <w:szCs w:val="32"/>
        </w:rPr>
        <w:t>卫生健康支出（类）行政事业单位医疗（款）事业单位医疗（项）。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21.02</w:t>
      </w:r>
      <w:r>
        <w:rPr>
          <w:rFonts w:hint="eastAsia" w:ascii="Times New Roman" w:hAnsi="Times New Roman" w:eastAsia="方正仿宋_GBK" w:cs="方正仿宋_GBK"/>
          <w:sz w:val="32"/>
          <w:szCs w:val="32"/>
        </w:rPr>
        <w:t>万元，支出决算为21.02万元，完成年初预算的</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%，决算数</w:t>
      </w:r>
      <w:r>
        <w:rPr>
          <w:rFonts w:hint="eastAsia" w:ascii="Times New Roman" w:hAnsi="Times New Roman" w:eastAsia="方正仿宋_GBK" w:cs="方正仿宋_GBK"/>
          <w:sz w:val="32"/>
          <w:szCs w:val="32"/>
          <w:lang w:eastAsia="zh-CN"/>
        </w:rPr>
        <w:t>等于</w:t>
      </w:r>
      <w:r>
        <w:rPr>
          <w:rFonts w:hint="eastAsia" w:ascii="Times New Roman" w:hAnsi="Times New Roman" w:eastAsia="方正仿宋_GBK" w:cs="方正仿宋_GBK"/>
          <w:sz w:val="32"/>
          <w:szCs w:val="32"/>
        </w:rPr>
        <w:t>年初预算数的主要原因是：</w:t>
      </w:r>
      <w:r>
        <w:rPr>
          <w:rFonts w:hint="eastAsia" w:ascii="Times New Roman" w:hAnsi="Times New Roman" w:eastAsia="方正仿宋_GBK" w:cs="方正仿宋_GBK"/>
          <w:sz w:val="32"/>
          <w:szCs w:val="32"/>
          <w:lang w:eastAsia="zh-CN"/>
        </w:rPr>
        <w:t>本年</w:t>
      </w:r>
      <w:r>
        <w:rPr>
          <w:rFonts w:hint="eastAsia" w:ascii="Times New Roman" w:hAnsi="Times New Roman" w:eastAsia="方正仿宋_GBK" w:cs="方正仿宋_GBK"/>
          <w:sz w:val="32"/>
          <w:szCs w:val="32"/>
        </w:rPr>
        <w:t>收支基本持平</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9．</w:t>
      </w:r>
      <w:r>
        <w:rPr>
          <w:rFonts w:hint="eastAsia" w:ascii="Times New Roman" w:hAnsi="Times New Roman" w:eastAsia="方正仿宋_GBK" w:cs="方正仿宋_GBK"/>
          <w:sz w:val="32"/>
          <w:szCs w:val="32"/>
        </w:rPr>
        <w:t>住房保障支出（类）住房改革支出（款）住房公积金（项）。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33.47</w:t>
      </w:r>
      <w:r>
        <w:rPr>
          <w:rFonts w:hint="eastAsia" w:ascii="Times New Roman" w:hAnsi="Times New Roman" w:eastAsia="方正仿宋_GBK" w:cs="方正仿宋_GBK"/>
          <w:sz w:val="32"/>
          <w:szCs w:val="32"/>
        </w:rPr>
        <w:t>万元，支出决算为33.47万元，完成年初预算的</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%，决算数</w:t>
      </w:r>
      <w:r>
        <w:rPr>
          <w:rFonts w:hint="eastAsia" w:ascii="Times New Roman" w:hAnsi="Times New Roman" w:eastAsia="方正仿宋_GBK" w:cs="方正仿宋_GBK"/>
          <w:sz w:val="32"/>
          <w:szCs w:val="32"/>
          <w:lang w:eastAsia="zh-CN"/>
        </w:rPr>
        <w:t>等于</w:t>
      </w:r>
      <w:r>
        <w:rPr>
          <w:rFonts w:hint="eastAsia" w:ascii="Times New Roman" w:hAnsi="Times New Roman" w:eastAsia="方正仿宋_GBK" w:cs="方正仿宋_GBK"/>
          <w:sz w:val="32"/>
          <w:szCs w:val="32"/>
        </w:rPr>
        <w:t>年初预算数的主要原因是：本年收支基本持平。</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六、一般公共预算财政拨款基本支出决算情况说明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2024年度一般公共预算财政拨款基本支出438.98万元，其中：</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b/>
          <w:bCs/>
          <w:sz w:val="32"/>
          <w:szCs w:val="32"/>
        </w:rPr>
        <w:t>人员经费</w:t>
      </w:r>
      <w:r>
        <w:rPr>
          <w:rFonts w:hint="eastAsia" w:ascii="Times New Roman" w:hAnsi="Times New Roman" w:eastAsia="方正仿宋_GBK" w:cs="方正仿宋_GBK"/>
          <w:sz w:val="32"/>
          <w:szCs w:val="32"/>
        </w:rPr>
        <w:t>375.40万元，占基本支出的</w:t>
      </w:r>
      <w:r>
        <w:rPr>
          <w:rFonts w:hint="eastAsia" w:ascii="Times New Roman" w:hAnsi="Times New Roman" w:eastAsia="方正仿宋_GBK" w:cs="方正仿宋_GBK"/>
          <w:sz w:val="32"/>
          <w:szCs w:val="32"/>
          <w:lang w:val="en-US" w:eastAsia="zh-CN"/>
        </w:rPr>
        <w:t>85.52</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主要包括基本工资、津贴补贴、伙食补助费</w:t>
      </w:r>
      <w:r>
        <w:rPr>
          <w:rFonts w:hint="eastAsia" w:ascii="Times New Roman" w:hAnsi="Times New Roman" w:eastAsia="方正仿宋_GBK" w:cs="方正仿宋_GBK"/>
          <w:sz w:val="32"/>
          <w:szCs w:val="32"/>
          <w:lang w:eastAsia="zh-CN"/>
        </w:rPr>
        <w:t>、绩效工资、住房公积金等。</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Times New Roman" w:hAnsi="Times New Roman" w:eastAsia="方正仿宋_GBK" w:cs="方正仿宋_GBK"/>
          <w:b/>
          <w:sz w:val="32"/>
          <w:szCs w:val="32"/>
        </w:rPr>
      </w:pPr>
      <w:r>
        <w:rPr>
          <w:rFonts w:hint="eastAsia" w:ascii="Times New Roman" w:hAnsi="Times New Roman" w:eastAsia="方正仿宋_GBK" w:cs="方正仿宋_GBK"/>
          <w:b/>
          <w:bCs/>
          <w:sz w:val="32"/>
          <w:szCs w:val="32"/>
        </w:rPr>
        <w:t>公用经费</w:t>
      </w:r>
      <w:r>
        <w:rPr>
          <w:rFonts w:hint="eastAsia" w:ascii="Times New Roman" w:hAnsi="Times New Roman" w:eastAsia="方正仿宋_GBK" w:cs="方正仿宋_GBK"/>
          <w:sz w:val="32"/>
          <w:szCs w:val="32"/>
        </w:rPr>
        <w:t>63.58万元，占基本支出的</w:t>
      </w:r>
      <w:r>
        <w:rPr>
          <w:rFonts w:hint="eastAsia" w:ascii="Times New Roman" w:hAnsi="Times New Roman" w:eastAsia="方正仿宋_GBK" w:cs="方正仿宋_GBK"/>
          <w:sz w:val="32"/>
          <w:szCs w:val="32"/>
          <w:lang w:val="en-US" w:eastAsia="zh-CN"/>
        </w:rPr>
        <w:t>14.48</w:t>
      </w:r>
      <w:r>
        <w:rPr>
          <w:rFonts w:hint="eastAsia" w:ascii="Times New Roman" w:hAnsi="Times New Roman" w:eastAsia="方正仿宋_GBK" w:cs="方正仿宋_GBK"/>
          <w:sz w:val="32"/>
          <w:szCs w:val="32"/>
        </w:rPr>
        <w:t>%，主要包括办公费、印刷费、</w:t>
      </w:r>
      <w:r>
        <w:rPr>
          <w:rFonts w:hint="eastAsia" w:ascii="Times New Roman" w:hAnsi="Times New Roman" w:eastAsia="方正仿宋_GBK" w:cs="方正仿宋_GBK"/>
          <w:sz w:val="32"/>
          <w:szCs w:val="32"/>
          <w:lang w:eastAsia="zh-CN"/>
        </w:rPr>
        <w:t>差旅费、劳务费、工会经费等</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七、财政拨款“三公”经费支出决算情况说明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i w:val="0"/>
          <w:iCs w:val="0"/>
          <w:color w:val="auto"/>
          <w:kern w:val="2"/>
          <w:sz w:val="32"/>
          <w:szCs w:val="32"/>
          <w:highlight w:val="none"/>
        </w:rPr>
      </w:pPr>
      <w:r>
        <w:rPr>
          <w:rFonts w:hint="eastAsia" w:ascii="方正楷体_GBK" w:hAnsi="方正楷体_GBK" w:eastAsia="方正楷体_GBK" w:cs="方正楷体_GBK"/>
          <w:b/>
          <w:bCs/>
          <w:i w:val="0"/>
          <w:iCs w:val="0"/>
          <w:color w:val="auto"/>
          <w:kern w:val="2"/>
          <w:sz w:val="32"/>
          <w:szCs w:val="32"/>
          <w:highlight w:val="none"/>
        </w:rPr>
        <w:t>（一）“三公”经费财政拨款支出决算总体情况说明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highlight w:val="yellow"/>
        </w:rPr>
      </w:pPr>
      <w:r>
        <w:rPr>
          <w:rFonts w:hint="eastAsia" w:ascii="Times New Roman" w:hAnsi="Times New Roman" w:eastAsia="方正仿宋_GBK" w:cs="方正仿宋_GBK"/>
          <w:sz w:val="32"/>
          <w:szCs w:val="32"/>
        </w:rPr>
        <w:t>2024年度“三公”经费财政拨款支出预算为</w:t>
      </w:r>
      <w:r>
        <w:rPr>
          <w:rFonts w:hint="eastAsia" w:ascii="Times New Roman" w:hAnsi="Times New Roman" w:eastAsia="方正仿宋_GBK" w:cs="方正仿宋_GBK"/>
          <w:sz w:val="32"/>
          <w:szCs w:val="32"/>
          <w:lang w:val="en-US" w:eastAsia="zh-CN"/>
        </w:rPr>
        <w:t>33</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27.01</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81.85</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与上年相比增加</w:t>
      </w:r>
      <w:r>
        <w:rPr>
          <w:rFonts w:hint="eastAsia" w:ascii="Times New Roman" w:hAnsi="Times New Roman" w:eastAsia="方正仿宋_GBK" w:cs="方正仿宋_GBK"/>
          <w:sz w:val="32"/>
          <w:szCs w:val="32"/>
          <w:lang w:val="en-US" w:eastAsia="zh-CN"/>
        </w:rPr>
        <w:t>20.02</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286.41</w:t>
      </w:r>
      <w:r>
        <w:rPr>
          <w:rFonts w:hint="eastAsia" w:ascii="Times New Roman" w:hAnsi="Times New Roman" w:eastAsia="方正仿宋_GBK" w:cs="方正仿宋_GBK"/>
          <w:sz w:val="32"/>
          <w:szCs w:val="32"/>
        </w:rPr>
        <w:t>%。决算数小于预算数的主要原因是厉行节约要求</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从严控制“三公”经费开支。决算数大于上年数的主要原因是本年新购置一台混动公务用车</w:t>
      </w:r>
      <w:r>
        <w:rPr>
          <w:rFonts w:hint="eastAsia" w:ascii="Times New Roman" w:hAnsi="Times New Roman" w:eastAsia="方正仿宋_GBK" w:cs="方正仿宋_GBK"/>
          <w:sz w:val="32"/>
          <w:szCs w:val="32"/>
          <w:lang w:eastAsia="zh-CN"/>
        </w:rPr>
        <w:t>，公务用车购置费增加</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color w:val="auto"/>
          <w:kern w:val="2"/>
          <w:sz w:val="32"/>
          <w:szCs w:val="32"/>
          <w:highlight w:val="none"/>
        </w:rPr>
      </w:pPr>
      <w:r>
        <w:rPr>
          <w:rFonts w:hint="eastAsia" w:ascii="方正楷体_GBK" w:hAnsi="方正楷体_GBK" w:eastAsia="方正楷体_GBK" w:cs="方正楷体_GBK"/>
          <w:b/>
          <w:bCs/>
          <w:color w:val="auto"/>
          <w:kern w:val="2"/>
          <w:sz w:val="32"/>
          <w:szCs w:val="32"/>
          <w:highlight w:val="none"/>
        </w:rPr>
        <w:t>（二）“三公”经费财政拨款支出决算具体情况说明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b/>
          <w:bCs/>
          <w:i/>
          <w:color w:val="auto"/>
          <w:sz w:val="32"/>
          <w:szCs w:val="32"/>
          <w:lang w:val="en-US" w:eastAsia="zh-CN"/>
        </w:rPr>
      </w:pP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因公出国（境）费支出预算为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0</w:t>
      </w:r>
      <w:bookmarkStart w:id="0" w:name="_GoBack"/>
      <w:bookmarkEnd w:id="0"/>
      <w:r>
        <w:rPr>
          <w:rFonts w:hint="eastAsia" w:ascii="Times New Roman" w:hAnsi="Times New Roman" w:eastAsia="方正仿宋_GBK" w:cs="方正仿宋_GBK"/>
          <w:sz w:val="32"/>
          <w:szCs w:val="32"/>
        </w:rPr>
        <w:t>万元，</w:t>
      </w:r>
      <w:r>
        <w:rPr>
          <w:rFonts w:hint="eastAsia" w:ascii="Times New Roman" w:hAnsi="Times New Roman" w:eastAsia="方正仿宋_GBK" w:cs="方正仿宋_GBK"/>
          <w:sz w:val="32"/>
          <w:szCs w:val="32"/>
          <w:lang w:eastAsia="zh-CN"/>
        </w:rPr>
        <w:t>上年度、本年度均无此项预算和支出。</w:t>
      </w:r>
      <w:r>
        <w:rPr>
          <w:rFonts w:hint="eastAsia" w:ascii="Times New Roman" w:hAnsi="Times New Roman" w:eastAsia="方正仿宋_GBK" w:cs="方正仿宋_GBK"/>
          <w:sz w:val="32"/>
          <w:szCs w:val="32"/>
        </w:rPr>
        <w:t>2024年度安排因公出国（境）团组</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个，累计</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人次</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公务用车购置费及运行维护费支出预算为</w:t>
      </w:r>
      <w:r>
        <w:rPr>
          <w:rFonts w:hint="eastAsia" w:ascii="Times New Roman" w:hAnsi="Times New Roman" w:eastAsia="方正仿宋_GBK" w:cs="方正仿宋_GBK"/>
          <w:sz w:val="32"/>
          <w:szCs w:val="32"/>
          <w:lang w:val="en-US" w:eastAsia="zh-CN"/>
        </w:rPr>
        <w:t>30</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26.44</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88.13</w:t>
      </w:r>
      <w:r>
        <w:rPr>
          <w:rFonts w:hint="eastAsia" w:ascii="Times New Roman" w:hAnsi="Times New Roman" w:eastAsia="方正仿宋_GBK" w:cs="方正仿宋_GBK"/>
          <w:sz w:val="32"/>
          <w:szCs w:val="32"/>
        </w:rPr>
        <w:t>%；与上年相比增加</w:t>
      </w:r>
      <w:r>
        <w:rPr>
          <w:rFonts w:hint="eastAsia" w:ascii="Times New Roman" w:hAnsi="Times New Roman" w:eastAsia="方正仿宋_GBK" w:cs="方正仿宋_GBK"/>
          <w:sz w:val="32"/>
          <w:szCs w:val="32"/>
          <w:lang w:val="en-US" w:eastAsia="zh-CN"/>
        </w:rPr>
        <w:t>20.66</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357.44</w:t>
      </w:r>
      <w:r>
        <w:rPr>
          <w:rFonts w:hint="eastAsia" w:ascii="Times New Roman" w:hAnsi="Times New Roman" w:eastAsia="方正仿宋_GBK" w:cs="方正仿宋_GBK"/>
          <w:sz w:val="32"/>
          <w:szCs w:val="32"/>
        </w:rPr>
        <w:t>%。其中：</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公务用车购置费支出预算为</w:t>
      </w:r>
      <w:r>
        <w:rPr>
          <w:rFonts w:hint="eastAsia" w:ascii="Times New Roman" w:hAnsi="Times New Roman" w:eastAsia="方正仿宋_GBK" w:cs="方正仿宋_GBK"/>
          <w:sz w:val="32"/>
          <w:szCs w:val="32"/>
          <w:lang w:val="en-US" w:eastAsia="zh-CN"/>
        </w:rPr>
        <w:t>25</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24.98</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99.92</w:t>
      </w:r>
      <w:r>
        <w:rPr>
          <w:rFonts w:hint="eastAsia" w:ascii="Times New Roman" w:hAnsi="Times New Roman" w:eastAsia="方正仿宋_GBK" w:cs="方正仿宋_GBK"/>
          <w:sz w:val="32"/>
          <w:szCs w:val="32"/>
        </w:rPr>
        <w:t>%；与上年相比增加</w:t>
      </w:r>
      <w:r>
        <w:rPr>
          <w:rFonts w:hint="eastAsia" w:ascii="Times New Roman" w:hAnsi="Times New Roman" w:eastAsia="方正仿宋_GBK" w:cs="方正仿宋_GBK"/>
          <w:sz w:val="32"/>
          <w:szCs w:val="32"/>
          <w:lang w:val="en-US" w:eastAsia="zh-CN"/>
        </w:rPr>
        <w:t>24.98</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%。决算数小于预算数的主要原因是</w:t>
      </w:r>
      <w:r>
        <w:rPr>
          <w:rFonts w:hint="eastAsia" w:ascii="Times New Roman" w:hAnsi="Times New Roman" w:eastAsia="方正仿宋_GBK" w:cs="方正仿宋_GBK"/>
          <w:sz w:val="32"/>
          <w:szCs w:val="32"/>
          <w:lang w:eastAsia="zh-CN"/>
        </w:rPr>
        <w:t>厉行节约要求，在预算范围内采购</w:t>
      </w:r>
      <w:r>
        <w:rPr>
          <w:rFonts w:hint="eastAsia" w:ascii="Times New Roman" w:hAnsi="Times New Roman" w:eastAsia="方正仿宋_GBK" w:cs="方正仿宋_GBK"/>
          <w:sz w:val="32"/>
          <w:szCs w:val="32"/>
          <w:lang w:val="en-US" w:eastAsia="zh-CN"/>
        </w:rPr>
        <w:t>一台混动公务用车。</w:t>
      </w:r>
      <w:r>
        <w:rPr>
          <w:rFonts w:hint="eastAsia" w:ascii="Times New Roman" w:hAnsi="Times New Roman" w:eastAsia="方正仿宋_GBK" w:cs="方正仿宋_GBK"/>
          <w:sz w:val="32"/>
          <w:szCs w:val="32"/>
        </w:rPr>
        <w:t>决算数大于上年数的主要原因是</w:t>
      </w:r>
      <w:r>
        <w:rPr>
          <w:rFonts w:hint="eastAsia" w:ascii="Times New Roman" w:hAnsi="Times New Roman" w:eastAsia="方正仿宋_GBK" w:cs="方正仿宋_GBK"/>
          <w:sz w:val="32"/>
          <w:szCs w:val="32"/>
          <w:lang w:eastAsia="zh-CN"/>
        </w:rPr>
        <w:t>本年新购置</w:t>
      </w:r>
      <w:r>
        <w:rPr>
          <w:rFonts w:hint="eastAsia" w:ascii="Times New Roman" w:hAnsi="Times New Roman" w:eastAsia="方正仿宋_GBK" w:cs="方正仿宋_GBK"/>
          <w:sz w:val="32"/>
          <w:szCs w:val="32"/>
          <w:lang w:val="en-US" w:eastAsia="zh-CN"/>
        </w:rPr>
        <w:t>一台混动公务用车</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湖南省法人大数据运维中心</w:t>
      </w:r>
      <w:r>
        <w:rPr>
          <w:rFonts w:hint="eastAsia" w:ascii="Times New Roman" w:hAnsi="Times New Roman" w:eastAsia="方正仿宋_GBK" w:cs="方正仿宋_GBK"/>
          <w:sz w:val="32"/>
          <w:szCs w:val="32"/>
        </w:rPr>
        <w:t>更新公务用车</w:t>
      </w:r>
      <w:r>
        <w:rPr>
          <w:rFonts w:hint="eastAsia" w:ascii="Times New Roman" w:hAnsi="Times New Roman" w:eastAsia="方正仿宋_GBK" w:cs="方正仿宋_GBK"/>
          <w:sz w:val="32"/>
          <w:szCs w:val="32"/>
          <w:lang w:val="en-US" w:eastAsia="zh-CN"/>
        </w:rPr>
        <w:t>1</w:t>
      </w:r>
      <w:r>
        <w:rPr>
          <w:rFonts w:hint="eastAsia" w:ascii="Times New Roman" w:hAnsi="Times New Roman" w:eastAsia="方正仿宋_GBK" w:cs="方正仿宋_GBK"/>
          <w:sz w:val="32"/>
          <w:szCs w:val="32"/>
        </w:rPr>
        <w:t>辆</w:t>
      </w:r>
      <w:r>
        <w:rPr>
          <w:rFonts w:hint="eastAsia" w:ascii="Times New Roman" w:hAnsi="Times New Roman" w:eastAsia="方正仿宋_GBK" w:cs="方正仿宋_GBK"/>
          <w:color w:val="000000" w:themeColor="text1"/>
          <w:sz w:val="32"/>
          <w:szCs w:val="32"/>
          <w14:textFill>
            <w14:solidFill>
              <w14:schemeClr w14:val="tx1"/>
            </w14:solidFill>
          </w14:textFill>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公务用车运行维护费支出预算为</w:t>
      </w:r>
      <w:r>
        <w:rPr>
          <w:rFonts w:hint="eastAsia" w:ascii="Times New Roman" w:hAnsi="Times New Roman" w:eastAsia="方正仿宋_GBK" w:cs="方正仿宋_GBK"/>
          <w:sz w:val="32"/>
          <w:szCs w:val="32"/>
          <w:lang w:val="en-US" w:eastAsia="zh-CN"/>
        </w:rPr>
        <w:t>5</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1.46</w:t>
      </w:r>
      <w:r>
        <w:rPr>
          <w:rFonts w:hint="eastAsia" w:ascii="Times New Roman" w:hAnsi="Times New Roman" w:eastAsia="方正仿宋_GBK" w:cs="方正仿宋_GBK"/>
          <w:sz w:val="32"/>
          <w:szCs w:val="32"/>
        </w:rPr>
        <w:t>万元，主要是</w:t>
      </w:r>
      <w:r>
        <w:rPr>
          <w:rFonts w:hint="eastAsia" w:ascii="Times New Roman" w:hAnsi="Times New Roman" w:eastAsia="方正仿宋_GBK" w:cs="方正仿宋_GBK"/>
          <w:sz w:val="32"/>
          <w:szCs w:val="32"/>
          <w:lang w:eastAsia="zh-CN"/>
        </w:rPr>
        <w:t>油卡充值、保险和年检</w:t>
      </w:r>
      <w:r>
        <w:rPr>
          <w:rFonts w:hint="eastAsia" w:ascii="Times New Roman" w:hAnsi="Times New Roman" w:eastAsia="方正仿宋_GBK" w:cs="方正仿宋_GBK"/>
          <w:sz w:val="32"/>
          <w:szCs w:val="32"/>
        </w:rPr>
        <w:t>支出，完成预算的</w:t>
      </w:r>
      <w:r>
        <w:rPr>
          <w:rFonts w:hint="eastAsia" w:ascii="Times New Roman" w:hAnsi="Times New Roman" w:eastAsia="方正仿宋_GBK" w:cs="方正仿宋_GBK"/>
          <w:sz w:val="32"/>
          <w:szCs w:val="32"/>
          <w:lang w:val="en-US" w:eastAsia="zh-CN"/>
        </w:rPr>
        <w:t>29.20</w:t>
      </w:r>
      <w:r>
        <w:rPr>
          <w:rFonts w:hint="eastAsia" w:ascii="Times New Roman" w:hAnsi="Times New Roman" w:eastAsia="方正仿宋_GBK" w:cs="方正仿宋_GBK"/>
          <w:sz w:val="32"/>
          <w:szCs w:val="32"/>
        </w:rPr>
        <w:t>%；与上年相比减少</w:t>
      </w:r>
      <w:r>
        <w:rPr>
          <w:rFonts w:hint="eastAsia" w:ascii="Times New Roman" w:hAnsi="Times New Roman" w:eastAsia="方正仿宋_GBK" w:cs="方正仿宋_GBK"/>
          <w:sz w:val="32"/>
          <w:szCs w:val="32"/>
          <w:lang w:val="en-US" w:eastAsia="zh-CN"/>
        </w:rPr>
        <w:t>4.32</w:t>
      </w:r>
      <w:r>
        <w:rPr>
          <w:rFonts w:hint="eastAsia" w:ascii="Times New Roman" w:hAnsi="Times New Roman" w:eastAsia="方正仿宋_GBK" w:cs="方正仿宋_GBK"/>
          <w:sz w:val="32"/>
          <w:szCs w:val="32"/>
        </w:rPr>
        <w:t>万元，降低</w:t>
      </w:r>
      <w:r>
        <w:rPr>
          <w:rFonts w:hint="eastAsia" w:ascii="Times New Roman" w:hAnsi="Times New Roman" w:eastAsia="方正仿宋_GBK" w:cs="方正仿宋_GBK"/>
          <w:sz w:val="32"/>
          <w:szCs w:val="32"/>
          <w:lang w:val="en-US" w:eastAsia="zh-CN"/>
        </w:rPr>
        <w:t>74.74</w:t>
      </w:r>
      <w:r>
        <w:rPr>
          <w:rFonts w:hint="eastAsia" w:ascii="Times New Roman" w:hAnsi="Times New Roman" w:eastAsia="方正仿宋_GBK" w:cs="方正仿宋_GBK"/>
          <w:sz w:val="32"/>
          <w:szCs w:val="32"/>
        </w:rPr>
        <w:t>%。决算数小于预算数的主要原因是</w:t>
      </w:r>
      <w:r>
        <w:rPr>
          <w:rFonts w:hint="eastAsia" w:ascii="Times New Roman" w:hAnsi="Times New Roman" w:eastAsia="方正仿宋_GBK" w:cs="方正仿宋_GBK"/>
          <w:sz w:val="32"/>
          <w:szCs w:val="32"/>
          <w:lang w:eastAsia="zh-CN"/>
        </w:rPr>
        <w:t>厉行节约要求，从严控制“三公”经费开支</w:t>
      </w:r>
      <w:r>
        <w:rPr>
          <w:rFonts w:hint="eastAsia" w:ascii="Times New Roman" w:hAnsi="Times New Roman" w:eastAsia="方正仿宋_GBK" w:cs="方正仿宋_GBK"/>
          <w:sz w:val="32"/>
          <w:szCs w:val="32"/>
        </w:rPr>
        <w:t>。决算数小于上年数的主要原因是本年新购置一台混动公务用车，油费、维修费等相关</w:t>
      </w:r>
      <w:r>
        <w:rPr>
          <w:rFonts w:hint="eastAsia" w:ascii="Times New Roman" w:hAnsi="Times New Roman" w:eastAsia="方正仿宋_GBK" w:cs="方正仿宋_GBK"/>
          <w:sz w:val="32"/>
          <w:szCs w:val="32"/>
          <w:lang w:eastAsia="zh-CN"/>
        </w:rPr>
        <w:t>支出减少</w:t>
      </w:r>
      <w:r>
        <w:rPr>
          <w:rFonts w:hint="eastAsia" w:ascii="Times New Roman" w:hAnsi="Times New Roman" w:eastAsia="方正仿宋_GBK" w:cs="方正仿宋_GBK"/>
          <w:sz w:val="32"/>
          <w:szCs w:val="32"/>
        </w:rPr>
        <w:t>。截</w:t>
      </w:r>
      <w:r>
        <w:rPr>
          <w:rFonts w:hint="eastAsia" w:ascii="Times New Roman" w:hAnsi="Times New Roman" w:eastAsia="方正仿宋_GBK" w:cs="方正仿宋_GBK"/>
          <w:sz w:val="32"/>
          <w:szCs w:val="32"/>
          <w:lang w:eastAsia="zh-CN"/>
        </w:rPr>
        <w:t>至</w:t>
      </w:r>
      <w:r>
        <w:rPr>
          <w:rFonts w:hint="eastAsia" w:ascii="Times New Roman" w:hAnsi="Times New Roman" w:eastAsia="方正仿宋_GBK" w:cs="方正仿宋_GBK"/>
          <w:sz w:val="32"/>
          <w:szCs w:val="32"/>
        </w:rPr>
        <w:t>2024年12月31日，我单位开支财政拨款的公务用车保有量为</w:t>
      </w:r>
      <w:r>
        <w:rPr>
          <w:rFonts w:hint="eastAsia" w:ascii="Times New Roman" w:hAnsi="Times New Roman" w:eastAsia="方正仿宋_GBK" w:cs="方正仿宋_GBK"/>
          <w:sz w:val="32"/>
          <w:szCs w:val="32"/>
          <w:lang w:val="en-US" w:eastAsia="zh-CN"/>
        </w:rPr>
        <w:t>1</w:t>
      </w:r>
      <w:r>
        <w:rPr>
          <w:rFonts w:hint="eastAsia" w:ascii="Times New Roman" w:hAnsi="Times New Roman" w:eastAsia="方正仿宋_GBK" w:cs="方正仿宋_GBK"/>
          <w:sz w:val="32"/>
          <w:szCs w:val="32"/>
        </w:rPr>
        <w:t>辆。</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公务接待费支出预算为</w:t>
      </w: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0.57</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19</w:t>
      </w:r>
      <w:r>
        <w:rPr>
          <w:rFonts w:hint="eastAsia" w:ascii="Times New Roman" w:hAnsi="Times New Roman" w:eastAsia="方正仿宋_GBK" w:cs="方正仿宋_GBK"/>
          <w:sz w:val="32"/>
          <w:szCs w:val="32"/>
        </w:rPr>
        <w:t>%；与上年相比减少</w:t>
      </w:r>
      <w:r>
        <w:rPr>
          <w:rFonts w:hint="eastAsia" w:ascii="Times New Roman" w:hAnsi="Times New Roman" w:eastAsia="方正仿宋_GBK" w:cs="方正仿宋_GBK"/>
          <w:sz w:val="32"/>
          <w:szCs w:val="32"/>
          <w:lang w:val="en-US" w:eastAsia="zh-CN"/>
        </w:rPr>
        <w:t>0.64</w:t>
      </w:r>
      <w:r>
        <w:rPr>
          <w:rFonts w:hint="eastAsia" w:ascii="Times New Roman" w:hAnsi="Times New Roman" w:eastAsia="方正仿宋_GBK" w:cs="方正仿宋_GBK"/>
          <w:sz w:val="32"/>
          <w:szCs w:val="32"/>
        </w:rPr>
        <w:t>万元，降低</w:t>
      </w:r>
      <w:r>
        <w:rPr>
          <w:rFonts w:hint="eastAsia" w:ascii="Times New Roman" w:hAnsi="Times New Roman" w:eastAsia="方正仿宋_GBK" w:cs="方正仿宋_GBK"/>
          <w:sz w:val="32"/>
          <w:szCs w:val="32"/>
          <w:lang w:val="en-US" w:eastAsia="zh-CN"/>
        </w:rPr>
        <w:t>52.89</w:t>
      </w:r>
      <w:r>
        <w:rPr>
          <w:rFonts w:hint="eastAsia" w:ascii="Times New Roman" w:hAnsi="Times New Roman" w:eastAsia="方正仿宋_GBK" w:cs="方正仿宋_GBK"/>
          <w:sz w:val="32"/>
          <w:szCs w:val="32"/>
        </w:rPr>
        <w:t>%。决算数小于预算数的主要原因是厉行节约要求，从严控制“三公”经费开支。决算数小于上年数的主要原因是</w:t>
      </w:r>
      <w:r>
        <w:rPr>
          <w:rFonts w:hint="eastAsia" w:ascii="Times New Roman" w:hAnsi="Times New Roman" w:eastAsia="方正仿宋_GBK" w:cs="方正仿宋_GBK"/>
          <w:sz w:val="32"/>
          <w:szCs w:val="32"/>
          <w:lang w:eastAsia="zh-CN"/>
        </w:rPr>
        <w:t>本年信息化工作相关业务调研发生的公务接待次数减少，接待费用降低</w:t>
      </w:r>
      <w:r>
        <w:rPr>
          <w:rFonts w:hint="eastAsia" w:ascii="Times New Roman" w:hAnsi="Times New Roman" w:eastAsia="方正仿宋_GBK" w:cs="方正仿宋_GBK"/>
          <w:sz w:val="32"/>
          <w:szCs w:val="32"/>
        </w:rPr>
        <w:t>。2024年度共接待来访团组</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个、来宾</w:t>
      </w:r>
      <w:r>
        <w:rPr>
          <w:rFonts w:hint="eastAsia" w:ascii="Times New Roman" w:hAnsi="Times New Roman" w:eastAsia="方正仿宋_GBK" w:cs="方正仿宋_GBK"/>
          <w:sz w:val="32"/>
          <w:szCs w:val="32"/>
          <w:lang w:val="en-US" w:eastAsia="zh-CN"/>
        </w:rPr>
        <w:t>36</w:t>
      </w:r>
      <w:r>
        <w:rPr>
          <w:rFonts w:hint="eastAsia" w:ascii="Times New Roman" w:hAnsi="Times New Roman" w:eastAsia="方正仿宋_GBK" w:cs="方正仿宋_GBK"/>
          <w:sz w:val="32"/>
          <w:szCs w:val="32"/>
        </w:rPr>
        <w:t>人次，主要是信息化工作相关业务调研发生的接待支出。</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八、政府性基金预算收入支出决算情况</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2024年度</w:t>
      </w:r>
      <w:r>
        <w:rPr>
          <w:rFonts w:hint="eastAsia" w:ascii="Times New Roman" w:hAnsi="Times New Roman" w:eastAsia="方正仿宋_GBK" w:cs="方正仿宋_GBK"/>
          <w:sz w:val="32"/>
          <w:szCs w:val="32"/>
          <w:lang w:eastAsia="zh-CN"/>
        </w:rPr>
        <w:t>湖南省法人大数据运维中心</w:t>
      </w:r>
      <w:r>
        <w:rPr>
          <w:rFonts w:hint="eastAsia" w:ascii="Times New Roman" w:hAnsi="Times New Roman" w:eastAsia="方正仿宋_GBK" w:cs="方正仿宋_GBK"/>
          <w:sz w:val="32"/>
          <w:szCs w:val="32"/>
        </w:rPr>
        <w:t>无政府性基金收支</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九、关于机关运行经费支出说明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本</w:t>
      </w:r>
      <w:r>
        <w:rPr>
          <w:rFonts w:hint="eastAsia" w:ascii="Times New Roman" w:hAnsi="Times New Roman" w:eastAsia="方正仿宋_GBK" w:cs="方正仿宋_GBK"/>
          <w:sz w:val="32"/>
          <w:szCs w:val="32"/>
          <w:lang w:eastAsia="zh-CN"/>
        </w:rPr>
        <w:t>单位</w:t>
      </w:r>
      <w:r>
        <w:rPr>
          <w:rFonts w:hint="eastAsia" w:ascii="Times New Roman" w:hAnsi="Times New Roman" w:eastAsia="方正仿宋_GBK" w:cs="方正仿宋_GBK"/>
          <w:sz w:val="32"/>
          <w:szCs w:val="32"/>
        </w:rPr>
        <w:t>2024年度机关运行经费支出</w:t>
      </w:r>
      <w:r>
        <w:rPr>
          <w:rFonts w:hint="eastAsia" w:ascii="Times New Roman" w:hAnsi="Times New Roman" w:eastAsia="方正仿宋_GBK" w:cs="方正仿宋_GBK"/>
          <w:sz w:val="32"/>
          <w:szCs w:val="32"/>
          <w:lang w:val="en-US" w:eastAsia="zh-CN"/>
        </w:rPr>
        <w:t>63.58</w:t>
      </w:r>
      <w:r>
        <w:rPr>
          <w:rFonts w:hint="eastAsia" w:ascii="Times New Roman" w:hAnsi="Times New Roman" w:eastAsia="方正仿宋_GBK" w:cs="方正仿宋_GBK"/>
          <w:sz w:val="32"/>
          <w:szCs w:val="32"/>
        </w:rPr>
        <w:t>万元，比年初预算数减少</w:t>
      </w:r>
      <w:r>
        <w:rPr>
          <w:rFonts w:hint="eastAsia" w:ascii="Times New Roman" w:hAnsi="Times New Roman" w:eastAsia="方正仿宋_GBK" w:cs="方正仿宋_GBK"/>
          <w:sz w:val="32"/>
          <w:szCs w:val="32"/>
          <w:lang w:val="en-US" w:eastAsia="zh-CN"/>
        </w:rPr>
        <w:t>54.24</w:t>
      </w:r>
      <w:r>
        <w:rPr>
          <w:rFonts w:hint="eastAsia" w:ascii="Times New Roman" w:hAnsi="Times New Roman" w:eastAsia="方正仿宋_GBK" w:cs="方正仿宋_GBK"/>
          <w:sz w:val="32"/>
          <w:szCs w:val="32"/>
        </w:rPr>
        <w:t>万元，降低</w:t>
      </w:r>
      <w:r>
        <w:rPr>
          <w:rFonts w:hint="eastAsia" w:ascii="Times New Roman" w:hAnsi="Times New Roman" w:eastAsia="方正仿宋_GBK" w:cs="方正仿宋_GBK"/>
          <w:sz w:val="32"/>
          <w:szCs w:val="32"/>
          <w:lang w:val="en-US" w:eastAsia="zh-CN"/>
        </w:rPr>
        <w:t>46.04</w:t>
      </w:r>
      <w:r>
        <w:rPr>
          <w:rFonts w:hint="eastAsia" w:ascii="Times New Roman" w:hAnsi="Times New Roman" w:eastAsia="方正仿宋_GBK" w:cs="方正仿宋_GBK"/>
          <w:sz w:val="32"/>
          <w:szCs w:val="32"/>
        </w:rPr>
        <w:t>%。主要原因是：本年严格落实中央八项规定厉行节约要求，从严控制办公费、维修（护）费和差旅费等费用开支</w:t>
      </w:r>
      <w:r>
        <w:rPr>
          <w:rFonts w:hint="eastAsia" w:ascii="Times New Roman" w:hAnsi="Times New Roman" w:eastAsia="方正仿宋_GBK" w:cs="方正仿宋_GBK"/>
          <w:sz w:val="32"/>
          <w:szCs w:val="32"/>
          <w:lang w:eastAsia="zh-CN"/>
        </w:rPr>
        <w:t>。其中</w:t>
      </w:r>
      <w:r>
        <w:rPr>
          <w:rFonts w:hint="eastAsia" w:ascii="Times New Roman" w:hAnsi="Times New Roman" w:eastAsia="方正仿宋_GBK" w:cs="方正仿宋_GBK"/>
          <w:sz w:val="32"/>
          <w:szCs w:val="32"/>
        </w:rPr>
        <w:t>办公费</w:t>
      </w:r>
      <w:r>
        <w:rPr>
          <w:rFonts w:hint="eastAsia" w:ascii="Times New Roman" w:hAnsi="Times New Roman" w:eastAsia="方正仿宋_GBK" w:cs="方正仿宋_GBK"/>
          <w:sz w:val="32"/>
          <w:szCs w:val="32"/>
          <w:lang w:eastAsia="zh-CN"/>
        </w:rPr>
        <w:t>支出</w:t>
      </w:r>
      <w:r>
        <w:rPr>
          <w:rFonts w:hint="eastAsia" w:ascii="Times New Roman" w:hAnsi="Times New Roman" w:eastAsia="方正仿宋_GBK" w:cs="方正仿宋_GBK"/>
          <w:sz w:val="32"/>
          <w:szCs w:val="32"/>
          <w:lang w:val="en-US" w:eastAsia="zh-CN"/>
        </w:rPr>
        <w:t>5.71万元，较年初预算减少19.29万元；</w:t>
      </w:r>
      <w:r>
        <w:rPr>
          <w:rFonts w:hint="eastAsia" w:ascii="Times New Roman" w:hAnsi="Times New Roman" w:eastAsia="方正仿宋_GBK" w:cs="方正仿宋_GBK"/>
          <w:sz w:val="32"/>
          <w:szCs w:val="32"/>
        </w:rPr>
        <w:t>维修（护）费</w:t>
      </w:r>
      <w:r>
        <w:rPr>
          <w:rFonts w:hint="eastAsia" w:ascii="Times New Roman" w:hAnsi="Times New Roman" w:eastAsia="方正仿宋_GBK" w:cs="方正仿宋_GBK"/>
          <w:sz w:val="32"/>
          <w:szCs w:val="32"/>
          <w:lang w:eastAsia="zh-CN"/>
        </w:rPr>
        <w:t>支出</w:t>
      </w:r>
      <w:r>
        <w:rPr>
          <w:rFonts w:hint="eastAsia" w:ascii="Times New Roman" w:hAnsi="Times New Roman" w:eastAsia="方正仿宋_GBK" w:cs="方正仿宋_GBK"/>
          <w:sz w:val="32"/>
          <w:szCs w:val="32"/>
          <w:lang w:val="en-US" w:eastAsia="zh-CN"/>
        </w:rPr>
        <w:t>1.62万元</w:t>
      </w:r>
      <w:r>
        <w:rPr>
          <w:rFonts w:hint="eastAsia" w:ascii="Times New Roman" w:hAnsi="Times New Roman" w:eastAsia="方正仿宋_GBK" w:cs="方正仿宋_GBK"/>
          <w:sz w:val="32"/>
          <w:szCs w:val="32"/>
          <w:lang w:eastAsia="zh-CN"/>
        </w:rPr>
        <w:t>，较年初预算减少</w:t>
      </w:r>
      <w:r>
        <w:rPr>
          <w:rFonts w:hint="eastAsia" w:ascii="Times New Roman" w:hAnsi="Times New Roman" w:eastAsia="方正仿宋_GBK" w:cs="方正仿宋_GBK"/>
          <w:sz w:val="32"/>
          <w:szCs w:val="32"/>
          <w:lang w:val="en-US" w:eastAsia="zh-CN"/>
        </w:rPr>
        <w:t>13.38万元；</w:t>
      </w:r>
      <w:r>
        <w:rPr>
          <w:rFonts w:hint="eastAsia" w:ascii="Times New Roman" w:hAnsi="Times New Roman" w:eastAsia="方正仿宋_GBK" w:cs="方正仿宋_GBK"/>
          <w:sz w:val="32"/>
          <w:szCs w:val="32"/>
        </w:rPr>
        <w:t>差旅费</w:t>
      </w:r>
      <w:r>
        <w:rPr>
          <w:rFonts w:hint="eastAsia" w:ascii="Times New Roman" w:hAnsi="Times New Roman" w:eastAsia="方正仿宋_GBK" w:cs="方正仿宋_GBK"/>
          <w:sz w:val="32"/>
          <w:szCs w:val="32"/>
          <w:lang w:eastAsia="zh-CN"/>
        </w:rPr>
        <w:t>支出</w:t>
      </w:r>
      <w:r>
        <w:rPr>
          <w:rFonts w:hint="eastAsia" w:ascii="Times New Roman" w:hAnsi="Times New Roman" w:eastAsia="方正仿宋_GBK" w:cs="方正仿宋_GBK"/>
          <w:sz w:val="32"/>
          <w:szCs w:val="32"/>
          <w:lang w:val="en-US" w:eastAsia="zh-CN"/>
        </w:rPr>
        <w:t>8.63万元，较年初预算减少11.37万元。</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十、一般性支出情况说明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2024年本</w:t>
      </w:r>
      <w:r>
        <w:rPr>
          <w:rFonts w:hint="eastAsia" w:ascii="Times New Roman" w:hAnsi="Times New Roman" w:eastAsia="方正仿宋_GBK" w:cs="方正仿宋_GBK"/>
          <w:sz w:val="32"/>
          <w:szCs w:val="32"/>
          <w:lang w:eastAsia="zh-CN"/>
        </w:rPr>
        <w:t>单位</w:t>
      </w:r>
      <w:r>
        <w:rPr>
          <w:rFonts w:hint="eastAsia" w:ascii="Times New Roman" w:hAnsi="Times New Roman" w:eastAsia="方正仿宋_GBK" w:cs="方正仿宋_GBK"/>
          <w:sz w:val="32"/>
          <w:szCs w:val="32"/>
        </w:rPr>
        <w:t>开支会议费</w:t>
      </w:r>
      <w:r>
        <w:rPr>
          <w:rFonts w:hint="eastAsia" w:ascii="Times New Roman" w:hAnsi="Times New Roman" w:eastAsia="方正仿宋_GBK" w:cs="方正仿宋_GBK"/>
          <w:sz w:val="32"/>
          <w:szCs w:val="32"/>
          <w:lang w:val="en-US" w:eastAsia="zh-CN"/>
        </w:rPr>
        <w:t>1.47</w:t>
      </w:r>
      <w:r>
        <w:rPr>
          <w:rFonts w:hint="eastAsia" w:ascii="Times New Roman" w:hAnsi="Times New Roman" w:eastAsia="方正仿宋_GBK" w:cs="方正仿宋_GBK"/>
          <w:sz w:val="32"/>
          <w:szCs w:val="32"/>
        </w:rPr>
        <w:t>万元，用于召开全省信息化</w:t>
      </w: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sz w:val="32"/>
          <w:szCs w:val="32"/>
          <w:lang w:val="en"/>
        </w:rPr>
      </w:pPr>
      <w:r>
        <w:rPr>
          <w:rFonts w:hint="eastAsia" w:ascii="Times New Roman" w:hAnsi="Times New Roman" w:eastAsia="方正仿宋_GBK" w:cs="方正仿宋_GBK"/>
          <w:sz w:val="32"/>
          <w:szCs w:val="32"/>
        </w:rPr>
        <w:t>工作会议，人数</w:t>
      </w:r>
      <w:r>
        <w:rPr>
          <w:rFonts w:hint="eastAsia" w:ascii="Times New Roman" w:hAnsi="Times New Roman" w:eastAsia="方正仿宋_GBK" w:cs="方正仿宋_GBK"/>
          <w:sz w:val="32"/>
          <w:szCs w:val="32"/>
          <w:lang w:val="en"/>
        </w:rPr>
        <w:t>76</w:t>
      </w:r>
      <w:r>
        <w:rPr>
          <w:rFonts w:hint="eastAsia" w:ascii="Times New Roman" w:hAnsi="Times New Roman" w:eastAsia="方正仿宋_GBK" w:cs="方正仿宋_GBK"/>
          <w:sz w:val="32"/>
          <w:szCs w:val="32"/>
        </w:rPr>
        <w:t>人，内容为总结202</w:t>
      </w:r>
      <w:r>
        <w:rPr>
          <w:rFonts w:hint="eastAsia" w:ascii="Times New Roman" w:hAnsi="Times New Roman" w:eastAsia="方正仿宋_GBK" w:cs="方正仿宋_GBK"/>
          <w:sz w:val="32"/>
          <w:szCs w:val="32"/>
          <w:lang w:val="en"/>
        </w:rPr>
        <w:t>3</w:t>
      </w:r>
      <w:r>
        <w:rPr>
          <w:rFonts w:hint="eastAsia" w:ascii="Times New Roman" w:hAnsi="Times New Roman" w:eastAsia="方正仿宋_GBK" w:cs="方正仿宋_GBK"/>
          <w:sz w:val="32"/>
          <w:szCs w:val="32"/>
        </w:rPr>
        <w:t>年工作成效</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部署202</w:t>
      </w:r>
      <w:r>
        <w:rPr>
          <w:rFonts w:hint="eastAsia" w:ascii="Times New Roman" w:hAnsi="Times New Roman" w:eastAsia="方正仿宋_GBK" w:cs="方正仿宋_GBK"/>
          <w:sz w:val="32"/>
          <w:szCs w:val="32"/>
          <w:lang w:val="en"/>
        </w:rPr>
        <w:t>4</w:t>
      </w: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b/>
          <w:bCs/>
          <w:i/>
          <w:color w:val="auto"/>
          <w:sz w:val="32"/>
          <w:szCs w:val="32"/>
        </w:rPr>
      </w:pPr>
      <w:r>
        <w:rPr>
          <w:rFonts w:hint="eastAsia" w:ascii="Times New Roman" w:hAnsi="Times New Roman" w:eastAsia="方正仿宋_GBK" w:cs="方正仿宋_GBK"/>
          <w:sz w:val="32"/>
          <w:szCs w:val="32"/>
        </w:rPr>
        <w:t>年</w:t>
      </w:r>
      <w:r>
        <w:rPr>
          <w:rFonts w:hint="eastAsia" w:ascii="Times New Roman" w:hAnsi="Times New Roman" w:eastAsia="方正仿宋_GBK" w:cs="方正仿宋_GBK"/>
          <w:sz w:val="32"/>
          <w:szCs w:val="32"/>
          <w:lang w:eastAsia="zh-CN"/>
        </w:rPr>
        <w:t>我省市场监管</w:t>
      </w:r>
      <w:r>
        <w:rPr>
          <w:rFonts w:hint="eastAsia" w:ascii="Times New Roman" w:hAnsi="Times New Roman" w:eastAsia="方正仿宋_GBK" w:cs="方正仿宋_GBK"/>
          <w:sz w:val="32"/>
          <w:szCs w:val="32"/>
        </w:rPr>
        <w:t>信息化工作</w:t>
      </w:r>
      <w:r>
        <w:rPr>
          <w:rFonts w:hint="eastAsia" w:ascii="Times New Roman" w:hAnsi="Times New Roman" w:eastAsia="方正仿宋_GBK" w:cs="方正仿宋_GBK"/>
          <w:sz w:val="32"/>
          <w:szCs w:val="32"/>
          <w:lang w:eastAsia="zh-CN"/>
        </w:rPr>
        <w:t>，交流分享信息化工作经验</w:t>
      </w:r>
      <w:r>
        <w:rPr>
          <w:rFonts w:hint="eastAsia" w:ascii="Times New Roman" w:hAnsi="Times New Roman" w:eastAsia="方正仿宋_GBK" w:cs="方正仿宋_GBK"/>
          <w:sz w:val="32"/>
          <w:szCs w:val="32"/>
        </w:rPr>
        <w:t>；开支培训费</w:t>
      </w:r>
      <w:r>
        <w:rPr>
          <w:rFonts w:hint="eastAsia" w:ascii="Times New Roman" w:hAnsi="Times New Roman" w:eastAsia="方正仿宋_GBK" w:cs="方正仿宋_GBK"/>
          <w:sz w:val="32"/>
          <w:szCs w:val="32"/>
          <w:lang w:val="en-US" w:eastAsia="zh-CN"/>
        </w:rPr>
        <w:t>11.26</w:t>
      </w:r>
      <w:r>
        <w:rPr>
          <w:rFonts w:hint="eastAsia" w:ascii="Times New Roman" w:hAnsi="Times New Roman" w:eastAsia="方正仿宋_GBK" w:cs="方正仿宋_GBK"/>
          <w:sz w:val="32"/>
          <w:szCs w:val="32"/>
        </w:rPr>
        <w:t>万元，用于开展各市州、直属单位信息化专题培训</w:t>
      </w:r>
      <w:r>
        <w:rPr>
          <w:rFonts w:hint="eastAsia" w:ascii="Times New Roman" w:hAnsi="Times New Roman" w:eastAsia="方正仿宋_GBK" w:cs="方正仿宋_GBK"/>
          <w:sz w:val="32"/>
          <w:szCs w:val="32"/>
          <w:lang w:eastAsia="zh-CN"/>
        </w:rPr>
        <w:t>和在职人员能力提升培训。其中信息化专题培训</w:t>
      </w:r>
      <w:r>
        <w:rPr>
          <w:rFonts w:hint="eastAsia" w:ascii="Times New Roman" w:hAnsi="Times New Roman" w:eastAsia="方正仿宋_GBK" w:cs="方正仿宋_GBK"/>
          <w:sz w:val="32"/>
          <w:szCs w:val="32"/>
        </w:rPr>
        <w:t>人数</w:t>
      </w:r>
      <w:r>
        <w:rPr>
          <w:rFonts w:hint="eastAsia" w:ascii="Times New Roman" w:hAnsi="Times New Roman" w:eastAsia="方正仿宋_GBK" w:cs="方正仿宋_GBK"/>
          <w:sz w:val="32"/>
          <w:szCs w:val="32"/>
          <w:lang w:val="en-US" w:eastAsia="zh-CN"/>
        </w:rPr>
        <w:t>69</w:t>
      </w:r>
      <w:r>
        <w:rPr>
          <w:rFonts w:hint="eastAsia" w:ascii="Times New Roman" w:hAnsi="Times New Roman" w:eastAsia="方正仿宋_GBK" w:cs="方正仿宋_GBK"/>
          <w:sz w:val="32"/>
          <w:szCs w:val="32"/>
        </w:rPr>
        <w:t>人，内容为</w:t>
      </w:r>
      <w:r>
        <w:rPr>
          <w:rFonts w:hint="eastAsia" w:ascii="Times New Roman" w:hAnsi="Times New Roman" w:eastAsia="方正仿宋_GBK" w:cs="方正仿宋_GBK"/>
          <w:sz w:val="32"/>
          <w:szCs w:val="32"/>
          <w:lang w:eastAsia="zh-CN"/>
        </w:rPr>
        <w:t>信息化相关业务知识培训，开支培训费</w:t>
      </w:r>
      <w:r>
        <w:rPr>
          <w:rFonts w:hint="eastAsia" w:ascii="Times New Roman" w:hAnsi="Times New Roman" w:eastAsia="方正仿宋_GBK" w:cs="方正仿宋_GBK"/>
          <w:sz w:val="32"/>
          <w:szCs w:val="32"/>
          <w:lang w:val="en-US" w:eastAsia="zh-CN"/>
        </w:rPr>
        <w:t>2.59万元；其中</w:t>
      </w:r>
      <w:r>
        <w:rPr>
          <w:rFonts w:hint="eastAsia" w:ascii="Times New Roman" w:hAnsi="Times New Roman" w:eastAsia="方正仿宋_GBK" w:cs="方正仿宋_GBK"/>
          <w:sz w:val="32"/>
          <w:szCs w:val="32"/>
          <w:lang w:eastAsia="zh-CN"/>
        </w:rPr>
        <w:t>在职人员能力提升培训包括湖南省内部审计培训人数</w:t>
      </w:r>
      <w:r>
        <w:rPr>
          <w:rFonts w:hint="eastAsia" w:ascii="Times New Roman" w:hAnsi="Times New Roman" w:eastAsia="方正仿宋_GBK" w:cs="方正仿宋_GBK"/>
          <w:sz w:val="32"/>
          <w:szCs w:val="32"/>
          <w:lang w:val="en-US" w:eastAsia="zh-CN"/>
        </w:rPr>
        <w:t>2人，内容为内部审计知识培训，开支培训费0.43万元；深圳综合能力提升培训人数12人，内容为提升中心干部信息化工作业务能力和综合素质培训，开支培训费3.98万元；苏州综合能力提升培训人数2人，内容为干部综合能力提升培训，开支培训费0.61万元；省内培训人数19人，内容为学习贯彻党的二十届三中全会精神暨干部业务能力提升培训，开支培训费3.65万元</w:t>
      </w:r>
      <w:r>
        <w:rPr>
          <w:rFonts w:hint="eastAsia" w:ascii="Times New Roman" w:hAnsi="Times New Roman" w:eastAsia="方正仿宋_GBK" w:cs="方正仿宋_GBK"/>
          <w:sz w:val="32"/>
          <w:szCs w:val="32"/>
        </w:rPr>
        <w:t>；举办节庆、晚会、论坛、赛事活动，开支</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十一、关于政府采购支出说明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b/>
          <w:bCs/>
          <w:i/>
          <w:color w:val="auto"/>
          <w:sz w:val="32"/>
          <w:szCs w:val="32"/>
        </w:rPr>
      </w:pPr>
      <w:r>
        <w:rPr>
          <w:rFonts w:hint="eastAsia" w:ascii="Times New Roman" w:hAnsi="Times New Roman" w:eastAsia="方正仿宋_GBK" w:cs="方正仿宋_GBK"/>
          <w:sz w:val="32"/>
          <w:szCs w:val="32"/>
        </w:rPr>
        <w:t>本</w:t>
      </w:r>
      <w:r>
        <w:rPr>
          <w:rFonts w:hint="eastAsia" w:ascii="Times New Roman" w:hAnsi="Times New Roman" w:eastAsia="方正仿宋_GBK" w:cs="方正仿宋_GBK"/>
          <w:sz w:val="32"/>
          <w:szCs w:val="32"/>
          <w:lang w:eastAsia="zh-CN"/>
        </w:rPr>
        <w:t>单位</w:t>
      </w:r>
      <w:r>
        <w:rPr>
          <w:rFonts w:hint="eastAsia" w:ascii="Times New Roman" w:hAnsi="Times New Roman" w:eastAsia="方正仿宋_GBK" w:cs="方正仿宋_GBK"/>
          <w:sz w:val="32"/>
          <w:szCs w:val="32"/>
        </w:rPr>
        <w:t>2024年度政府采购支出总额</w:t>
      </w:r>
      <w:r>
        <w:rPr>
          <w:rFonts w:hint="eastAsia" w:ascii="Times New Roman" w:hAnsi="Times New Roman" w:eastAsia="方正仿宋_GBK" w:cs="方正仿宋_GBK"/>
          <w:sz w:val="32"/>
          <w:szCs w:val="32"/>
          <w:lang w:val="en-US" w:eastAsia="zh-CN"/>
        </w:rPr>
        <w:t>108.92</w:t>
      </w:r>
      <w:r>
        <w:rPr>
          <w:rFonts w:hint="eastAsia" w:ascii="Times New Roman" w:hAnsi="Times New Roman" w:eastAsia="方正仿宋_GBK" w:cs="方正仿宋_GBK"/>
          <w:sz w:val="32"/>
          <w:szCs w:val="32"/>
        </w:rPr>
        <w:t>万元，其中：政府采购货物支出</w:t>
      </w:r>
      <w:r>
        <w:rPr>
          <w:rFonts w:hint="eastAsia" w:ascii="Times New Roman" w:hAnsi="Times New Roman" w:eastAsia="方正仿宋_GBK" w:cs="方正仿宋_GBK"/>
          <w:sz w:val="32"/>
          <w:szCs w:val="32"/>
          <w:lang w:val="en-US" w:eastAsia="zh-CN"/>
        </w:rPr>
        <w:t>38.28</w:t>
      </w:r>
      <w:r>
        <w:rPr>
          <w:rFonts w:hint="eastAsia" w:ascii="Times New Roman" w:hAnsi="Times New Roman" w:eastAsia="方正仿宋_GBK" w:cs="方正仿宋_GBK"/>
          <w:sz w:val="32"/>
          <w:szCs w:val="32"/>
        </w:rPr>
        <w:t>万元、政府采购工程支出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万元、政府采购服务支出</w:t>
      </w:r>
      <w:r>
        <w:rPr>
          <w:rFonts w:hint="eastAsia" w:ascii="Times New Roman" w:hAnsi="Times New Roman" w:eastAsia="方正仿宋_GBK" w:cs="方正仿宋_GBK"/>
          <w:sz w:val="32"/>
          <w:szCs w:val="32"/>
          <w:lang w:val="en-US" w:eastAsia="zh-CN"/>
        </w:rPr>
        <w:t>70.64</w:t>
      </w:r>
      <w:r>
        <w:rPr>
          <w:rFonts w:hint="eastAsia" w:ascii="Times New Roman" w:hAnsi="Times New Roman" w:eastAsia="方正仿宋_GBK" w:cs="方正仿宋_GBK"/>
          <w:sz w:val="32"/>
          <w:szCs w:val="32"/>
        </w:rPr>
        <w:t>万元。授予中小企业合同金额</w:t>
      </w:r>
      <w:r>
        <w:rPr>
          <w:rFonts w:hint="eastAsia" w:ascii="Times New Roman" w:hAnsi="Times New Roman" w:eastAsia="方正仿宋_GBK" w:cs="方正仿宋_GBK"/>
          <w:sz w:val="32"/>
          <w:szCs w:val="32"/>
          <w:lang w:val="en-US" w:eastAsia="zh-CN"/>
        </w:rPr>
        <w:t>108.92</w:t>
      </w:r>
      <w:r>
        <w:rPr>
          <w:rFonts w:hint="eastAsia" w:ascii="Times New Roman" w:hAnsi="Times New Roman" w:eastAsia="方正仿宋_GBK" w:cs="方正仿宋_GBK"/>
          <w:sz w:val="32"/>
          <w:szCs w:val="32"/>
        </w:rPr>
        <w:t>万元，占政府采购支出总额的</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%，其中：授予小微企业合同金额</w:t>
      </w:r>
      <w:r>
        <w:rPr>
          <w:rFonts w:hint="eastAsia" w:ascii="Times New Roman" w:hAnsi="Times New Roman" w:eastAsia="方正仿宋_GBK" w:cs="方正仿宋_GBK"/>
          <w:sz w:val="32"/>
          <w:szCs w:val="32"/>
          <w:lang w:val="en-US" w:eastAsia="zh-CN"/>
        </w:rPr>
        <w:t>108.92</w:t>
      </w:r>
      <w:r>
        <w:rPr>
          <w:rFonts w:hint="eastAsia" w:ascii="Times New Roman" w:hAnsi="Times New Roman" w:eastAsia="方正仿宋_GBK" w:cs="方正仿宋_GBK"/>
          <w:sz w:val="32"/>
          <w:szCs w:val="32"/>
        </w:rPr>
        <w:t>万元，</w:t>
      </w:r>
      <w:r>
        <w:rPr>
          <w:rFonts w:hint="eastAsia" w:ascii="Times New Roman" w:hAnsi="Times New Roman" w:eastAsia="方正仿宋_GBK" w:cs="方正仿宋_GBK"/>
          <w:color w:val="auto"/>
          <w:sz w:val="32"/>
          <w:szCs w:val="32"/>
        </w:rPr>
        <w:t>占授予中小企业合同金额的</w:t>
      </w:r>
      <w:r>
        <w:rPr>
          <w:rFonts w:hint="eastAsia" w:ascii="Times New Roman" w:hAnsi="Times New Roman" w:eastAsia="方正仿宋_GBK" w:cs="方正仿宋_GBK"/>
          <w:color w:val="auto"/>
          <w:sz w:val="32"/>
          <w:szCs w:val="32"/>
          <w:lang w:val="en-US" w:eastAsia="zh-CN"/>
        </w:rPr>
        <w:t>100</w:t>
      </w:r>
      <w:r>
        <w:rPr>
          <w:rFonts w:hint="eastAsia" w:ascii="Times New Roman" w:hAnsi="Times New Roman" w:eastAsia="方正仿宋_GBK" w:cs="方正仿宋_GBK"/>
          <w:color w:val="auto"/>
          <w:sz w:val="32"/>
          <w:szCs w:val="32"/>
        </w:rPr>
        <w:t>%。货物采购授予中小企业合同金额占货物支出金额的</w:t>
      </w:r>
      <w:r>
        <w:rPr>
          <w:rFonts w:hint="eastAsia" w:ascii="Times New Roman" w:hAnsi="Times New Roman" w:eastAsia="方正仿宋_GBK" w:cs="方正仿宋_GBK"/>
          <w:color w:val="auto"/>
          <w:sz w:val="32"/>
          <w:szCs w:val="32"/>
          <w:lang w:val="en-US" w:eastAsia="zh-CN"/>
        </w:rPr>
        <w:t>100</w:t>
      </w:r>
      <w:r>
        <w:rPr>
          <w:rFonts w:hint="eastAsia" w:ascii="Times New Roman" w:hAnsi="Times New Roman" w:eastAsia="方正仿宋_GBK" w:cs="方正仿宋_GBK"/>
          <w:color w:val="auto"/>
          <w:sz w:val="32"/>
          <w:szCs w:val="32"/>
        </w:rPr>
        <w:t>%，工程采购授予中小企业合同金额占工程支出金额的</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%，服务采购授予中小企业合同金额占服务支出金额的</w:t>
      </w:r>
      <w:r>
        <w:rPr>
          <w:rFonts w:hint="eastAsia" w:ascii="Times New Roman" w:hAnsi="Times New Roman" w:eastAsia="方正仿宋_GBK" w:cs="方正仿宋_GBK"/>
          <w:color w:val="auto"/>
          <w:sz w:val="32"/>
          <w:szCs w:val="32"/>
          <w:lang w:val="en-US" w:eastAsia="zh-CN"/>
        </w:rPr>
        <w:t>100</w:t>
      </w:r>
      <w:r>
        <w:rPr>
          <w:rFonts w:hint="eastAsia" w:ascii="Times New Roman" w:hAnsi="Times New Roman" w:eastAsia="方正仿宋_GBK" w:cs="方正仿宋_GBK"/>
          <w:color w:val="auto"/>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十二、关于国有资产占用情况说明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color w:val="auto"/>
          <w:sz w:val="32"/>
          <w:szCs w:val="32"/>
        </w:rPr>
      </w:pPr>
      <w:r>
        <w:rPr>
          <w:rFonts w:hint="eastAsia" w:ascii="Times New Roman" w:hAnsi="Times New Roman" w:eastAsia="方正仿宋_GBK" w:cs="方正仿宋_GBK"/>
          <w:color w:val="auto"/>
          <w:sz w:val="32"/>
          <w:szCs w:val="32"/>
        </w:rPr>
        <w:t>截至2024年12月31日，单位共有车辆</w:t>
      </w:r>
      <w:r>
        <w:rPr>
          <w:rFonts w:hint="eastAsia" w:ascii="Times New Roman" w:hAnsi="Times New Roman" w:eastAsia="方正仿宋_GBK" w:cs="方正仿宋_GBK"/>
          <w:color w:val="auto"/>
          <w:sz w:val="32"/>
          <w:szCs w:val="32"/>
          <w:lang w:val="en-US" w:eastAsia="zh-CN"/>
        </w:rPr>
        <w:t>1</w:t>
      </w:r>
      <w:r>
        <w:rPr>
          <w:rFonts w:hint="eastAsia" w:ascii="Times New Roman" w:hAnsi="Times New Roman" w:eastAsia="方正仿宋_GBK" w:cs="方正仿宋_GBK"/>
          <w:color w:val="auto"/>
          <w:sz w:val="32"/>
          <w:szCs w:val="32"/>
        </w:rPr>
        <w:t>辆，其中，副部（省）级及以上领导用车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辆、主要负责人用车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辆、机要通信用车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辆、应急保障用车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辆、执法执勤用车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辆、特种专业技术用车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辆、离退休干部服务用车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辆、其他用车</w:t>
      </w:r>
      <w:r>
        <w:rPr>
          <w:rFonts w:hint="eastAsia" w:ascii="Times New Roman" w:hAnsi="Times New Roman" w:eastAsia="方正仿宋_GBK" w:cs="方正仿宋_GBK"/>
          <w:color w:val="auto"/>
          <w:sz w:val="32"/>
          <w:szCs w:val="32"/>
          <w:lang w:val="en-US" w:eastAsia="zh-CN"/>
        </w:rPr>
        <w:t>1</w:t>
      </w:r>
      <w:r>
        <w:rPr>
          <w:rFonts w:hint="eastAsia" w:ascii="Times New Roman" w:hAnsi="Times New Roman" w:eastAsia="方正仿宋_GBK" w:cs="方正仿宋_GBK"/>
          <w:color w:val="auto"/>
          <w:sz w:val="32"/>
          <w:szCs w:val="32"/>
        </w:rPr>
        <w:t>辆，其他用车主要是</w:t>
      </w:r>
      <w:r>
        <w:rPr>
          <w:rFonts w:hint="eastAsia" w:ascii="Times New Roman" w:hAnsi="Times New Roman" w:eastAsia="方正仿宋_GBK" w:cs="方正仿宋_GBK"/>
          <w:color w:val="auto"/>
          <w:sz w:val="32"/>
          <w:szCs w:val="32"/>
          <w:lang w:eastAsia="zh-CN"/>
        </w:rPr>
        <w:t>业务用车</w:t>
      </w:r>
      <w:r>
        <w:rPr>
          <w:rFonts w:hint="eastAsia" w:ascii="Times New Roman" w:hAnsi="Times New Roman" w:eastAsia="方正仿宋_GBK" w:cs="方正仿宋_GBK"/>
          <w:color w:val="auto"/>
          <w:sz w:val="32"/>
          <w:szCs w:val="32"/>
        </w:rPr>
        <w:t>；单位价值100万元以上设备（不含车辆）</w:t>
      </w:r>
      <w:r>
        <w:rPr>
          <w:rFonts w:hint="eastAsia" w:ascii="Times New Roman" w:hAnsi="Times New Roman" w:eastAsia="方正仿宋_GBK" w:cs="方正仿宋_GBK"/>
          <w:color w:val="auto"/>
          <w:sz w:val="32"/>
          <w:szCs w:val="32"/>
          <w:lang w:val="en-US" w:eastAsia="zh-CN"/>
        </w:rPr>
        <w:t>1台（</w:t>
      </w:r>
      <w:r>
        <w:rPr>
          <w:rFonts w:hint="eastAsia" w:ascii="Times New Roman" w:hAnsi="Times New Roman" w:eastAsia="方正仿宋_GBK" w:cs="方正仿宋_GBK"/>
          <w:color w:val="auto"/>
          <w:sz w:val="32"/>
          <w:szCs w:val="32"/>
        </w:rPr>
        <w:t>套</w:t>
      </w:r>
      <w:r>
        <w:rPr>
          <w:rFonts w:hint="eastAsia" w:ascii="Times New Roman" w:hAnsi="Times New Roman" w:eastAsia="方正仿宋_GBK" w:cs="方正仿宋_GBK"/>
          <w:color w:val="auto"/>
          <w:sz w:val="32"/>
          <w:szCs w:val="32"/>
          <w:lang w:val="en-US" w:eastAsia="zh-CN"/>
        </w:rPr>
        <w:t>）</w:t>
      </w:r>
      <w:r>
        <w:rPr>
          <w:rFonts w:hint="eastAsia" w:ascii="Times New Roman" w:hAnsi="Times New Roman" w:eastAsia="方正仿宋_GBK" w:cs="方正仿宋_GBK"/>
          <w:color w:val="auto"/>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黑体_GBK" w:cs="方正黑体_GBK"/>
          <w:bCs/>
          <w:sz w:val="32"/>
          <w:szCs w:val="32"/>
        </w:rPr>
      </w:pPr>
      <w:r>
        <w:rPr>
          <w:rFonts w:hint="eastAsia" w:ascii="Times New Roman" w:hAnsi="Times New Roman" w:eastAsia="方正黑体_GBK" w:cs="方正黑体_GBK"/>
          <w:bCs/>
          <w:sz w:val="32"/>
          <w:szCs w:val="32"/>
        </w:rPr>
        <w:t>十三、关于2024年度预算绩效情况的说明</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kern w:val="0"/>
          <w:sz w:val="32"/>
          <w:szCs w:val="32"/>
        </w:rPr>
      </w:pPr>
      <w:r>
        <w:rPr>
          <w:rFonts w:hint="eastAsia" w:ascii="方正楷体_GBK" w:hAnsi="方正楷体_GBK" w:eastAsia="方正楷体_GBK" w:cs="方正楷体_GBK"/>
          <w:b/>
          <w:bCs/>
          <w:color w:val="auto"/>
          <w:kern w:val="2"/>
          <w:sz w:val="32"/>
          <w:szCs w:val="32"/>
          <w:highlight w:val="none"/>
          <w:lang w:val="en-US" w:eastAsia="zh-CN" w:bidi="ar-SA"/>
        </w:rPr>
        <w:t>（一）绩效评价工作开展情况。</w:t>
      </w:r>
      <w:r>
        <w:rPr>
          <w:rFonts w:hint="eastAsia" w:ascii="Times New Roman" w:hAnsi="Times New Roman" w:eastAsia="方正仿宋_GBK" w:cs="方正仿宋_GBK"/>
          <w:kern w:val="0"/>
          <w:sz w:val="32"/>
          <w:szCs w:val="32"/>
        </w:rPr>
        <w:t>组织对2024年度本单位整体支出开展绩效自评，涉及项目</w:t>
      </w:r>
      <w:r>
        <w:rPr>
          <w:rFonts w:hint="eastAsia" w:ascii="Times New Roman" w:hAnsi="Times New Roman" w:eastAsia="方正仿宋_GBK" w:cs="方正仿宋_GBK"/>
          <w:kern w:val="0"/>
          <w:sz w:val="32"/>
          <w:szCs w:val="32"/>
          <w:lang w:val="en-US" w:eastAsia="zh-CN"/>
        </w:rPr>
        <w:t>3</w:t>
      </w:r>
      <w:r>
        <w:rPr>
          <w:rFonts w:hint="eastAsia" w:ascii="Times New Roman" w:hAnsi="Times New Roman" w:eastAsia="方正仿宋_GBK" w:cs="方正仿宋_GBK"/>
          <w:kern w:val="0"/>
          <w:sz w:val="32"/>
          <w:szCs w:val="32"/>
        </w:rPr>
        <w:t>个，共涉及资金</w:t>
      </w:r>
      <w:r>
        <w:rPr>
          <w:rFonts w:hint="eastAsia" w:ascii="Times New Roman" w:hAnsi="Times New Roman" w:eastAsia="方正仿宋_GBK" w:cs="方正仿宋_GBK"/>
          <w:kern w:val="0"/>
          <w:sz w:val="32"/>
          <w:szCs w:val="32"/>
          <w:lang w:val="en-US" w:eastAsia="zh-CN"/>
        </w:rPr>
        <w:t>1,047.80</w:t>
      </w:r>
      <w:r>
        <w:rPr>
          <w:rFonts w:hint="eastAsia" w:ascii="Times New Roman" w:hAnsi="Times New Roman" w:eastAsia="方正仿宋_GBK" w:cs="方正仿宋_GBK"/>
          <w:kern w:val="0"/>
          <w:sz w:val="32"/>
          <w:szCs w:val="32"/>
        </w:rPr>
        <w:t>万元。其中，一般公共预算项目</w:t>
      </w:r>
      <w:r>
        <w:rPr>
          <w:rFonts w:hint="eastAsia" w:ascii="Times New Roman" w:hAnsi="Times New Roman" w:eastAsia="方正仿宋_GBK" w:cs="方正仿宋_GBK"/>
          <w:kern w:val="0"/>
          <w:sz w:val="32"/>
          <w:szCs w:val="32"/>
          <w:lang w:val="en-US" w:eastAsia="zh-CN"/>
        </w:rPr>
        <w:t>3</w:t>
      </w:r>
      <w:r>
        <w:rPr>
          <w:rFonts w:hint="eastAsia" w:ascii="Times New Roman" w:hAnsi="Times New Roman" w:eastAsia="方正仿宋_GBK" w:cs="方正仿宋_GBK"/>
          <w:kern w:val="0"/>
          <w:sz w:val="32"/>
          <w:szCs w:val="32"/>
        </w:rPr>
        <w:t>个</w:t>
      </w:r>
      <w:r>
        <w:rPr>
          <w:rFonts w:hint="eastAsia" w:ascii="Times New Roman" w:hAnsi="Times New Roman" w:eastAsia="方正仿宋_GBK" w:cs="方正仿宋_GBK"/>
          <w:kern w:val="0"/>
          <w:sz w:val="32"/>
          <w:szCs w:val="32"/>
          <w:lang w:val="en-US" w:eastAsia="zh-CN"/>
        </w:rPr>
        <w:t>1,047.80</w:t>
      </w:r>
      <w:r>
        <w:rPr>
          <w:rFonts w:hint="eastAsia" w:ascii="Times New Roman" w:hAnsi="Times New Roman" w:eastAsia="方正仿宋_GBK" w:cs="方正仿宋_GBK"/>
          <w:kern w:val="0"/>
          <w:sz w:val="32"/>
          <w:szCs w:val="32"/>
        </w:rPr>
        <w:t>万元，占一般公共预算支出总额的</w:t>
      </w:r>
      <w:r>
        <w:rPr>
          <w:rFonts w:hint="eastAsia" w:ascii="Times New Roman" w:hAnsi="Times New Roman" w:eastAsia="方正仿宋_GBK" w:cs="方正仿宋_GBK"/>
          <w:kern w:val="0"/>
          <w:sz w:val="32"/>
          <w:szCs w:val="32"/>
          <w:lang w:val="en-US" w:eastAsia="zh-CN"/>
        </w:rPr>
        <w:t>70.47</w:t>
      </w:r>
      <w:r>
        <w:rPr>
          <w:rFonts w:hint="eastAsia" w:ascii="Times New Roman" w:hAnsi="Times New Roman" w:eastAsia="方正仿宋_GBK" w:cs="方正仿宋_GBK"/>
          <w:kern w:val="0"/>
          <w:sz w:val="32"/>
          <w:szCs w:val="32"/>
        </w:rPr>
        <w:t>%；政府性基金预算项目</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个</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万元，占政府性基金预算支出总额的</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%；国有资本经营预算项目</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个</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万元，占国有资本经营预算支出总额的</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%；社会保险基金预算项目</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个</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万元，占社会保险基金预算支出总额的</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bCs/>
          <w:sz w:val="32"/>
          <w:szCs w:val="32"/>
        </w:rPr>
      </w:pPr>
      <w:r>
        <w:rPr>
          <w:rFonts w:hint="eastAsia" w:ascii="方正楷体_GBK" w:hAnsi="方正楷体_GBK" w:eastAsia="方正楷体_GBK" w:cs="方正楷体_GBK"/>
          <w:b/>
          <w:bCs/>
          <w:color w:val="auto"/>
          <w:kern w:val="2"/>
          <w:sz w:val="32"/>
          <w:szCs w:val="32"/>
          <w:highlight w:val="none"/>
          <w:lang w:val="en-US" w:eastAsia="zh-CN" w:bidi="ar-SA"/>
        </w:rPr>
        <w:t>（二）绩效评价结果。</w:t>
      </w:r>
      <w:r>
        <w:rPr>
          <w:rFonts w:hint="eastAsia" w:ascii="Times New Roman" w:hAnsi="Times New Roman" w:eastAsia="方正仿宋_GBK" w:cs="方正仿宋_GBK"/>
          <w:kern w:val="0"/>
          <w:sz w:val="32"/>
          <w:szCs w:val="32"/>
        </w:rPr>
        <w:t>2024年度本单位整体支出</w:t>
      </w:r>
      <w:r>
        <w:rPr>
          <w:rFonts w:hint="eastAsia" w:ascii="Times New Roman" w:hAnsi="Times New Roman" w:eastAsia="方正仿宋_GBK" w:cs="方正仿宋_GBK"/>
          <w:sz w:val="32"/>
          <w:szCs w:val="32"/>
        </w:rPr>
        <w:t>全年预算数</w:t>
      </w:r>
      <w:r>
        <w:rPr>
          <w:rFonts w:hint="eastAsia" w:ascii="Times New Roman" w:hAnsi="Times New Roman" w:eastAsia="方正仿宋_GBK" w:cs="方正仿宋_GBK"/>
          <w:sz w:val="32"/>
          <w:szCs w:val="32"/>
          <w:lang w:val="en-US" w:eastAsia="zh-CN"/>
        </w:rPr>
        <w:t>1,654.53</w:t>
      </w:r>
      <w:r>
        <w:rPr>
          <w:rFonts w:hint="eastAsia" w:ascii="Times New Roman" w:hAnsi="Times New Roman" w:eastAsia="方正仿宋_GBK" w:cs="方正仿宋_GBK"/>
          <w:sz w:val="32"/>
          <w:szCs w:val="32"/>
        </w:rPr>
        <w:t>万元，执行数</w:t>
      </w:r>
      <w:r>
        <w:rPr>
          <w:rFonts w:hint="eastAsia" w:ascii="Times New Roman" w:hAnsi="Times New Roman" w:eastAsia="方正仿宋_GBK" w:cs="方正仿宋_GBK"/>
          <w:sz w:val="32"/>
          <w:szCs w:val="32"/>
          <w:lang w:val="en-US" w:eastAsia="zh-CN"/>
        </w:rPr>
        <w:t>1,486.78</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89.86</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kern w:val="0"/>
          <w:sz w:val="32"/>
          <w:szCs w:val="32"/>
        </w:rPr>
        <w:t>，绩效自评得分</w:t>
      </w:r>
      <w:r>
        <w:rPr>
          <w:rFonts w:hint="eastAsia" w:ascii="Times New Roman" w:hAnsi="Times New Roman" w:eastAsia="方正仿宋_GBK" w:cs="方正仿宋_GBK"/>
          <w:sz w:val="32"/>
          <w:szCs w:val="32"/>
          <w:lang w:val="en-US" w:eastAsia="zh-CN"/>
        </w:rPr>
        <w:t>97</w:t>
      </w:r>
      <w:r>
        <w:rPr>
          <w:rFonts w:hint="eastAsia" w:ascii="Times New Roman" w:hAnsi="Times New Roman" w:eastAsia="方正仿宋_GBK" w:cs="方正仿宋_GBK"/>
          <w:sz w:val="32"/>
          <w:szCs w:val="32"/>
        </w:rPr>
        <w:t>分</w:t>
      </w:r>
      <w:r>
        <w:rPr>
          <w:rFonts w:hint="eastAsia" w:ascii="Times New Roman" w:hAnsi="Times New Roman" w:eastAsia="方正仿宋_GBK" w:cs="方正仿宋_GBK"/>
          <w:kern w:val="0"/>
          <w:sz w:val="32"/>
          <w:szCs w:val="32"/>
        </w:rPr>
        <w:t>，评价等级为</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优</w:t>
      </w:r>
      <w:r>
        <w:rPr>
          <w:rFonts w:hint="eastAsia" w:ascii="Times New Roman" w:hAnsi="Times New Roman" w:eastAsia="方正仿宋_GBK" w:cs="方正仿宋_GBK"/>
          <w:sz w:val="32"/>
          <w:szCs w:val="32"/>
        </w:rPr>
        <w:t>”。绩效目标完成情况：一是</w:t>
      </w:r>
      <w:r>
        <w:rPr>
          <w:rFonts w:hint="eastAsia" w:ascii="Times New Roman" w:hAnsi="Times New Roman" w:eastAsia="方正仿宋_GBK" w:cs="方正仿宋_GBK"/>
          <w:sz w:val="32"/>
          <w:szCs w:val="32"/>
          <w:lang w:eastAsia="zh-CN"/>
        </w:rPr>
        <w:t>产出指标已完成</w:t>
      </w:r>
      <w:r>
        <w:rPr>
          <w:rFonts w:hint="eastAsia" w:ascii="Times New Roman" w:hAnsi="Times New Roman" w:eastAsia="方正仿宋_GBK" w:cs="方正仿宋_GBK"/>
          <w:sz w:val="32"/>
          <w:szCs w:val="32"/>
        </w:rPr>
        <w:t>；二是</w:t>
      </w:r>
      <w:r>
        <w:rPr>
          <w:rFonts w:hint="eastAsia" w:ascii="Times New Roman" w:hAnsi="Times New Roman" w:eastAsia="方正仿宋_GBK" w:cs="方正仿宋_GBK"/>
          <w:sz w:val="32"/>
          <w:szCs w:val="32"/>
          <w:lang w:eastAsia="zh-CN"/>
        </w:rPr>
        <w:t>效益指标已完成；三是满意度指标已完成</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Times New Roman" w:hAnsi="Times New Roman" w:eastAsia="方正仿宋_GBK" w:cs="方正仿宋_GBK"/>
          <w:color w:val="auto"/>
          <w:kern w:val="2"/>
          <w:sz w:val="32"/>
          <w:szCs w:val="32"/>
          <w:lang w:val="en-US" w:eastAsia="zh-CN" w:bidi="ar-SA"/>
        </w:rPr>
      </w:pPr>
      <w:r>
        <w:rPr>
          <w:rFonts w:hint="eastAsia" w:ascii="方正楷体_GBK" w:hAnsi="方正楷体_GBK" w:eastAsia="方正楷体_GBK" w:cs="方正楷体_GBK"/>
          <w:b/>
          <w:bCs/>
          <w:color w:val="auto"/>
          <w:kern w:val="2"/>
          <w:sz w:val="32"/>
          <w:szCs w:val="32"/>
          <w:highlight w:val="none"/>
        </w:rPr>
        <w:t>（三）评价结果应用情况。</w:t>
      </w:r>
      <w:r>
        <w:rPr>
          <w:rFonts w:hint="eastAsia" w:ascii="Times New Roman" w:hAnsi="Times New Roman" w:eastAsia="方正仿宋_GBK" w:cs="方正仿宋_GBK"/>
          <w:color w:val="auto"/>
          <w:kern w:val="2"/>
          <w:sz w:val="32"/>
          <w:szCs w:val="32"/>
          <w:lang w:val="en-US" w:eastAsia="zh-CN" w:bidi="ar-SA"/>
        </w:rPr>
        <w:t>一是预算安排方面，依据2024年绩效自评，精准定位预算需求、优化预算分配格局和强化预算约束与引导，及时推进项目资金支付。二是支出机构调整方面，聚焦重点领域，加大信息网络系统维护及建设专项经费投入力度；削减低效无效支出，严格控制三公经费支出，提高资金使用效益。三是资金管理方面，建立健全预算执行动态监控机制，确保资金安全高效使用；完善资金审批流程，规范资金使用行为。四是制度建设方面，修订完善预算管理制度，提升预算编制与执行水平，确保预算执行率达标；强化绩效管理制度，构建全方位绩效管理体系。</w:t>
      </w:r>
    </w:p>
    <w:p>
      <w:pPr>
        <w:pStyle w:val="15"/>
        <w:keepNext w:val="0"/>
        <w:keepLines w:val="0"/>
        <w:pageBreakBefore w:val="0"/>
        <w:widowControl w:val="0"/>
        <w:kinsoku/>
        <w:wordWrap/>
        <w:overflowPunct/>
        <w:topLinePunct/>
        <w:autoSpaceDE/>
        <w:autoSpaceDN/>
        <w:bidi w:val="0"/>
        <w:adjustRightInd w:val="0"/>
        <w:snapToGrid w:val="0"/>
        <w:spacing w:line="600" w:lineRule="exact"/>
        <w:jc w:val="both"/>
        <w:textAlignment w:val="auto"/>
        <w:rPr>
          <w:rFonts w:hint="eastAsia" w:ascii="Times New Roman" w:hAnsi="Times New Roman" w:eastAsia="方正仿宋_GBK" w:cs="方正仿宋_GBK"/>
          <w:color w:val="auto"/>
          <w:kern w:val="2"/>
          <w:sz w:val="32"/>
          <w:szCs w:val="32"/>
          <w:lang w:val="en-US" w:eastAsia="zh-CN" w:bidi="ar-SA"/>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color w:val="auto"/>
          <w:kern w:val="2"/>
          <w:sz w:val="32"/>
          <w:szCs w:val="32"/>
          <w:lang w:val="en-US" w:eastAsia="zh-CN" w:bidi="ar-SA"/>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color w:val="auto"/>
          <w:kern w:val="2"/>
          <w:sz w:val="32"/>
          <w:szCs w:val="32"/>
          <w:lang w:val="en-US" w:eastAsia="zh-CN" w:bidi="ar-SA"/>
        </w:rPr>
      </w:pPr>
    </w:p>
    <w:p>
      <w:pPr>
        <w:keepNext w:val="0"/>
        <w:keepLines w:val="0"/>
        <w:pageBreakBefore w:val="0"/>
        <w:widowControl w:val="0"/>
        <w:kinsoku/>
        <w:wordWrap/>
        <w:overflowPunct/>
        <w:topLinePunct/>
        <w:autoSpaceDE/>
        <w:autoSpaceDN/>
        <w:bidi w:val="0"/>
        <w:adjustRightInd w:val="0"/>
        <w:snapToGrid w:val="0"/>
        <w:spacing w:line="600" w:lineRule="exact"/>
        <w:rPr>
          <w:rFonts w:hint="eastAsia" w:ascii="Times New Roman" w:hAnsi="Times New Roman" w:eastAsia="方正仿宋_GBK" w:cs="方正仿宋_GBK"/>
          <w:color w:val="auto"/>
          <w:kern w:val="2"/>
          <w:sz w:val="32"/>
          <w:szCs w:val="32"/>
          <w:lang w:val="en-US" w:eastAsia="zh-CN" w:bidi="ar-SA"/>
        </w:rPr>
      </w:pPr>
      <w:r>
        <w:rPr>
          <w:rFonts w:hint="eastAsia" w:ascii="Times New Roman" w:hAnsi="Times New Roman" w:eastAsia="方正仿宋_GBK" w:cs="方正仿宋_GBK"/>
          <w:color w:val="auto"/>
          <w:kern w:val="2"/>
          <w:sz w:val="32"/>
          <w:szCs w:val="32"/>
          <w:lang w:val="en-US" w:eastAsia="zh-CN" w:bidi="ar-SA"/>
        </w:rPr>
        <w:br w:type="page"/>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第四部分    名词解释</w:t>
      </w:r>
    </w:p>
    <w:p>
      <w:pPr>
        <w:keepNext w:val="0"/>
        <w:keepLines w:val="0"/>
        <w:pageBreakBefore w:val="0"/>
        <w:widowControl w:val="0"/>
        <w:kinsoku/>
        <w:wordWrap/>
        <w:overflowPunct/>
        <w:topLinePunct/>
        <w:autoSpaceDE/>
        <w:autoSpaceDN/>
        <w:bidi w:val="0"/>
        <w:adjustRightInd w:val="0"/>
        <w:snapToGrid w:val="0"/>
        <w:spacing w:line="600" w:lineRule="exact"/>
        <w:jc w:val="left"/>
        <w:rPr>
          <w:rFonts w:hint="eastAsia" w:ascii="Times New Roman" w:hAnsi="Times New Roman" w:eastAsia="方正仿宋_GBK" w:cs="方正仿宋_GBK"/>
          <w:color w:val="000000"/>
          <w:kern w:val="0"/>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一、基本支出</w:t>
      </w:r>
      <w:r>
        <w:rPr>
          <w:rFonts w:hint="eastAsia" w:ascii="Times New Roman" w:hAnsi="Times New Roman" w:eastAsia="方正仿宋_GBK" w:cs="方正仿宋_GBK"/>
          <w:color w:val="000000"/>
          <w:kern w:val="0"/>
          <w:sz w:val="32"/>
          <w:szCs w:val="32"/>
          <w:lang w:eastAsia="zh-CN"/>
        </w:rPr>
        <w:t>：</w:t>
      </w:r>
      <w:r>
        <w:rPr>
          <w:rFonts w:hint="eastAsia" w:ascii="Times New Roman" w:hAnsi="Times New Roman" w:eastAsia="方正仿宋_GBK" w:cs="方正仿宋_GBK"/>
          <w:color w:val="000000"/>
          <w:kern w:val="0"/>
          <w:sz w:val="32"/>
          <w:szCs w:val="32"/>
        </w:rPr>
        <w:t>指为保障机构正常运转、完成日常工作任务</w:t>
      </w:r>
    </w:p>
    <w:p>
      <w:pPr>
        <w:keepNext w:val="0"/>
        <w:keepLines w:val="0"/>
        <w:pageBreakBefore w:val="0"/>
        <w:widowControl w:val="0"/>
        <w:kinsoku/>
        <w:wordWrap/>
        <w:overflowPunct/>
        <w:topLinePunct/>
        <w:autoSpaceDE/>
        <w:autoSpaceDN/>
        <w:bidi w:val="0"/>
        <w:adjustRightInd w:val="0"/>
        <w:snapToGrid w:val="0"/>
        <w:spacing w:line="600" w:lineRule="exact"/>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而发生的各项支出</w:t>
      </w:r>
      <w:r>
        <w:rPr>
          <w:rFonts w:hint="eastAsia" w:ascii="Times New Roman" w:hAnsi="Times New Roman" w:eastAsia="方正仿宋_GBK" w:cs="方正仿宋_GBK"/>
          <w:color w:val="000000"/>
          <w:kern w:val="0"/>
          <w:sz w:val="32"/>
          <w:szCs w:val="32"/>
          <w:lang w:eastAsia="zh-CN"/>
        </w:rPr>
        <w:t>，</w:t>
      </w:r>
      <w:r>
        <w:rPr>
          <w:rFonts w:hint="eastAsia" w:ascii="Times New Roman" w:hAnsi="Times New Roman" w:eastAsia="方正仿宋_GBK" w:cs="方正仿宋_GBK"/>
          <w:color w:val="000000"/>
          <w:kern w:val="0"/>
          <w:sz w:val="32"/>
          <w:szCs w:val="32"/>
        </w:rPr>
        <w:t>包括人员支出和公用支出。</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二、项目支出</w:t>
      </w:r>
      <w:r>
        <w:rPr>
          <w:rFonts w:hint="eastAsia" w:ascii="Times New Roman" w:hAnsi="Times New Roman" w:eastAsia="方正仿宋_GBK" w:cs="方正仿宋_GBK"/>
          <w:color w:val="000000"/>
          <w:kern w:val="0"/>
          <w:sz w:val="32"/>
          <w:szCs w:val="32"/>
          <w:lang w:eastAsia="zh-CN"/>
        </w:rPr>
        <w:t>：</w:t>
      </w:r>
      <w:r>
        <w:rPr>
          <w:rFonts w:hint="eastAsia" w:ascii="Times New Roman" w:hAnsi="Times New Roman" w:eastAsia="方正仿宋_GBK" w:cs="方正仿宋_GBK"/>
          <w:color w:val="000000"/>
          <w:kern w:val="0"/>
          <w:sz w:val="32"/>
          <w:szCs w:val="32"/>
        </w:rPr>
        <w:t>指在基本支出以外为完成相关行政任务和事</w:t>
      </w:r>
    </w:p>
    <w:p>
      <w:pPr>
        <w:keepNext w:val="0"/>
        <w:keepLines w:val="0"/>
        <w:pageBreakBefore w:val="0"/>
        <w:widowControl w:val="0"/>
        <w:kinsoku/>
        <w:wordWrap/>
        <w:overflowPunct/>
        <w:topLinePunct/>
        <w:autoSpaceDE/>
        <w:autoSpaceDN/>
        <w:bidi w:val="0"/>
        <w:adjustRightInd w:val="0"/>
        <w:snapToGrid w:val="0"/>
        <w:spacing w:line="600" w:lineRule="exact"/>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业发展目标所发生的各项支出。</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三、“三公”经费</w:t>
      </w:r>
      <w:r>
        <w:rPr>
          <w:rFonts w:hint="eastAsia" w:ascii="Times New Roman" w:hAnsi="Times New Roman" w:eastAsia="方正仿宋_GBK" w:cs="方正仿宋_GBK"/>
          <w:color w:val="000000"/>
          <w:kern w:val="0"/>
          <w:sz w:val="32"/>
          <w:szCs w:val="32"/>
          <w:lang w:eastAsia="zh-CN"/>
        </w:rPr>
        <w:t>：</w:t>
      </w:r>
      <w:r>
        <w:rPr>
          <w:rFonts w:hint="eastAsia" w:ascii="Times New Roman" w:hAnsi="Times New Roman" w:eastAsia="方正仿宋_GBK" w:cs="方正仿宋_GBK"/>
          <w:color w:val="000000"/>
          <w:kern w:val="0"/>
          <w:sz w:val="32"/>
          <w:szCs w:val="32"/>
        </w:rPr>
        <w:t>指通过财政拨款资金安排的因公出国</w:t>
      </w:r>
      <w:r>
        <w:rPr>
          <w:rFonts w:hint="eastAsia" w:ascii="Times New Roman" w:hAnsi="Times New Roman" w:eastAsia="方正仿宋_GBK" w:cs="方正仿宋_GBK"/>
          <w:color w:val="000000"/>
          <w:kern w:val="0"/>
          <w:sz w:val="32"/>
          <w:szCs w:val="32"/>
          <w:lang w:eastAsia="zh-CN"/>
        </w:rPr>
        <w:t>（境）</w:t>
      </w:r>
      <w:r>
        <w:rPr>
          <w:rFonts w:hint="eastAsia" w:ascii="Times New Roman" w:hAnsi="Times New Roman" w:eastAsia="方正仿宋_GBK" w:cs="方正仿宋_GBK"/>
          <w:color w:val="000000"/>
          <w:kern w:val="0"/>
          <w:sz w:val="32"/>
          <w:szCs w:val="32"/>
        </w:rPr>
        <w:t>费、公务用车购置及运行费和公务接待费支出。</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color w:val="000000"/>
          <w:kern w:val="0"/>
          <w:sz w:val="32"/>
          <w:szCs w:val="32"/>
          <w:lang w:val="en-US" w:eastAsia="zh-CN" w:bidi="ar-SA"/>
        </w:rPr>
      </w:pPr>
      <w:r>
        <w:rPr>
          <w:rFonts w:hint="eastAsia" w:ascii="Times New Roman" w:hAnsi="Times New Roman" w:eastAsia="方正仿宋_GBK" w:cs="方正仿宋_GBK"/>
          <w:color w:val="000000"/>
          <w:kern w:val="0"/>
          <w:sz w:val="32"/>
          <w:szCs w:val="32"/>
          <w:lang w:val="en-US" w:eastAsia="zh-CN" w:bidi="ar-SA"/>
        </w:rPr>
        <w:t>四、机关运行经费：是指各单位的公用经费,包括办公及印刷费、邮电费、差旅费、会议费、福利费、日常维修费、专用材料及一般设备购置费、办公用房水电费、办公用房取暖费、办公用房物业管理费、公务用车运行维护费以及其他费用。</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b/>
          <w:bCs/>
          <w:i/>
          <w:color w:val="auto"/>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第五部分   附 件</w:t>
      </w:r>
    </w:p>
    <w:p>
      <w:pPr>
        <w:keepNext w:val="0"/>
        <w:keepLines w:val="0"/>
        <w:pageBreakBefore w:val="0"/>
        <w:widowControl w:val="0"/>
        <w:kinsoku/>
        <w:wordWrap/>
        <w:overflowPunct/>
        <w:topLinePunct/>
        <w:autoSpaceDE/>
        <w:autoSpaceDN/>
        <w:bidi w:val="0"/>
        <w:adjustRightInd w:val="0"/>
        <w:snapToGrid w:val="0"/>
        <w:spacing w:line="600" w:lineRule="exact"/>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jc w:val="center"/>
        <w:textAlignment w:val="baseline"/>
        <w:rPr>
          <w:rFonts w:hint="eastAsia" w:ascii="方正小标宋_GBK" w:hAnsi="方正小标宋_GBK" w:eastAsia="方正小标宋_GBK" w:cs="方正小标宋_GBK"/>
          <w:snapToGrid w:val="0"/>
          <w:kern w:val="0"/>
          <w:sz w:val="44"/>
          <w:szCs w:val="44"/>
        </w:rPr>
      </w:pPr>
      <w:r>
        <w:rPr>
          <w:rFonts w:hint="eastAsia" w:ascii="方正小标宋_GBK" w:hAnsi="方正小标宋_GBK" w:eastAsia="方正小标宋_GBK" w:cs="方正小标宋_GBK"/>
          <w:snapToGrid w:val="0"/>
          <w:kern w:val="0"/>
          <w:sz w:val="44"/>
          <w:szCs w:val="44"/>
        </w:rPr>
        <w:t>2024年度湖南省法人大数据运维中心</w:t>
      </w: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jc w:val="center"/>
        <w:textAlignment w:val="baseline"/>
        <w:rPr>
          <w:rFonts w:hint="eastAsia" w:ascii="方正小标宋_GBK" w:hAnsi="方正小标宋_GBK" w:eastAsia="方正小标宋_GBK" w:cs="方正小标宋_GBK"/>
          <w:snapToGrid w:val="0"/>
          <w:kern w:val="0"/>
          <w:sz w:val="44"/>
          <w:szCs w:val="44"/>
        </w:rPr>
      </w:pPr>
      <w:r>
        <w:rPr>
          <w:rFonts w:hint="eastAsia" w:ascii="方正小标宋_GBK" w:hAnsi="方正小标宋_GBK" w:eastAsia="方正小标宋_GBK" w:cs="方正小标宋_GBK"/>
          <w:snapToGrid w:val="0"/>
          <w:kern w:val="0"/>
          <w:sz w:val="44"/>
          <w:szCs w:val="44"/>
        </w:rPr>
        <w:t>整体支出绩效自评报告</w:t>
      </w: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rPr>
          <w:rFonts w:hint="eastAsia" w:ascii="Times New Roman" w:hAnsi="Times New Roman" w:eastAsia="方正仿宋_GBK" w:cs="方正仿宋_GBK"/>
          <w:sz w:val="32"/>
          <w:szCs w:val="32"/>
        </w:rPr>
      </w:pP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一、</w:t>
      </w:r>
      <w:r>
        <w:rPr>
          <w:rFonts w:hint="eastAsia" w:ascii="方正黑体_GBK" w:hAnsi="方正黑体_GBK" w:eastAsia="方正黑体_GBK" w:cs="方正黑体_GBK"/>
          <w:sz w:val="32"/>
          <w:szCs w:val="32"/>
        </w:rPr>
        <w:t>单位基本情况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湖南省法人大数据运维中心</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以下简称“本中心”或“本部门”</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位于长沙市天心区芙蓉南路二段118号。</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本中心的职能职责主要是为机关提供支持保障的职能。承担法人大数据平台系统建设、运维职能；承担机关信息化工作支撑职能；承担省局信息化项目、系统及基础设施的规划、建设、管理、运维、技术保障和全省市场监管系统信息化建设的指导、推广；承担湖南省“互联网+监督”系统建设、运维相关事务性工作。完成湖南省市场监督管理局交办的其他任务。</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二、一般公共预算支出情况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（一）预算收入支出总体情况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2024年全年收入预算数为1654.53万元，其中基本经费494.53万元，项目经费1160万元，年初结转和结余0万元，收入总计1654.53万元，全部为一般公共财政拨款收入。</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全年支出预算数为1654.53万元，其中基本支出494.53万元，项目支出1160万元；决算支出金额1486.78万元，其中基本支出438.98万元、项目支出1047.80万元，结转结余167.75万元，其中基本支出结转55.55万元，项目支出结转112.20万元，预算执行率为</w:t>
      </w:r>
      <w:r>
        <w:rPr>
          <w:rFonts w:hint="eastAsia" w:ascii="Times New Roman" w:hAnsi="Times New Roman" w:eastAsia="方正仿宋_GBK" w:cs="方正仿宋_GBK"/>
          <w:sz w:val="32"/>
          <w:szCs w:val="32"/>
          <w:lang w:val="en-US" w:eastAsia="zh-CN"/>
        </w:rPr>
        <w:t>89.86</w:t>
      </w:r>
      <w:r>
        <w:rPr>
          <w:rFonts w:hint="eastAsia" w:ascii="Times New Roman" w:hAnsi="Times New Roman" w:eastAsia="方正仿宋_GBK" w:cs="方正仿宋_GBK"/>
          <w:sz w:val="32"/>
          <w:szCs w:val="32"/>
        </w:rPr>
        <w:t>%。2024年决算支出按经济分类支出主要包括工资福利支出362.52万元、商品和服务支出1085.62万元，对个人和家庭的补助12.88万元，资本性支出25.76万元。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基本支出情况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2024年基本支出全年预算数为494.53万元，其中人员经费376.71万元，公用经费为117.82万元；决算支出金额438.98万元，其中人员经费375.40万元，公用经费为63.58万元。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2024年基本支出决算金额占总决算支出29.53%，相比较2023年基本支出592.47万元，减少了153.49万元，减幅25.91%，主要原因为本年机房运费经费减少。</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（三）项目支出情况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项目支出全年预算数为1160万元，决算支出1047.80万元，主要为信息化基础设施运维支出。2024年项目支出决算金额占总决算支出70.47%，相比较2023年项目支出798.67万元，增加了249.13万元，增幅31.19%，主要原因为业务量增加，本年收支增加。</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三、政府性基金预算支出情况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无此类收入支出。</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四、国有资本经营预算支出情况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无此类收入支出。</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五、社会保险基金预算支出情况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无此类收入支出。</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六、单位整体支出绩效情况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2024年大数据中心坚决贯彻落实党中央、国务院、市场监管总局、省委省政府和省市场监管局关于信息化工作的系列决策部署，为省局推进市场监管治理体系和治理能力现代化提供了有力支撑。</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（一）零基预算改革实施情况良好</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大数据中心严格落实零基预算要求，在预算编制时不考虑以往预算安排基数，而是结合实际需求和财力状况，对各项支出逐项审核后，按照轻重缓急安排支出预算编制。打破了现行预算编制的“基数”观念和支出固化僵化格局，以提高财政资源配置效率和资金使用效益。</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按照2024年省局财务处批复的预算支出绩效目标，全年完成情况如下：</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产出指标完成情况分析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数量指标：采购网络租赁类项目个数≥1个，实际完成1个；采购软、硬件升级维保及服务项目≥3项，实际完成3项；公务用车购置≥1台，实际购置1台；全省信息化业务培训≥1项，实际完成1项；项目管理咨询服务类委托≥2次，实际完成2次。</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质量指标：网络系统故障处理响应及时性≤2小时，实际响应时间≤2小时；信息系统故障处理响应及时性≤30分钟，实际响应时间≤30分钟；第三方运行维护工作完成率100%，实际完成率100%；培训完成率100%，实际完成率100%；委托项目验收合格率100%，实际合格率100%。</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时效指标：全省信息化培训完成时间在2024年12月31日前，实际完成时间在2024年12月31日前；委托项目完成时间在2024年12月31日前，实际完成时间在2024年12月31日前；信息系统第三方运行维护工作完成时间在2024年12月31日前，实际完成时间在2024年12月31日前。</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成本指标：业务培训成本≤14万元，实际支出11.26万元；公务用车购置成本≤25万元，实际支出24.98万元；项目资金均按合同约定进度进行支付，不存在重复支付情况，2024年信息网络系统维护及建设工作成本未超过预算金额1100万元，实际支出995.32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效益指标完成情况分析：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（1）社会效益指标：2024年重大信息安全事故发生率为0%，实际发生率为0%。</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可持续影响指标：持续保障网络、安全、存储等系统和机房专用设施可持续、安全、稳定运行，实际为持续保障网络、安全、存储等系统和机房专用设施可持续、安全、稳定运行；持续保障信息化业务可持续运行，实际为持续保障信息化业务可持续运行。</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满意度指标完成情况分析：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服务对象满意度指标：信息系统使用人员满意度≥90%，实际信息系统使用人员满意度≥90%。</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（二）推动预算绩效管理提质增效</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firstLine="64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一是科学编制预算。按照党中央、国务院，省委、省政府重大决策部署及省局、大数据中心重点工作，加大省级专项资金、单位资金的统筹力度，严把支出预算关，严控“三公”经费支出，把有限的财政资金用于保运转、保重点、保安全上。二是严格预算执行。定期在中心内部例会上督促各部门均衡推进预算执行。三是建立长效机制。强化财经纪律和法规意识，进一步完善制度建设，根据省局和财政厅新颁布制度对中心现有制度进行优化。</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（三）基本运维及日常业务工作平稳有序开展</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firstLine="64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为满足中心日常业务工作需要，购置新公务用车一台，召开了全省信息化业务培训1次，相关经费支出均控制在预算范围内。同时，强化资产管理，2024年中心处置一批报废资产共计166.86万元，清理了资产存量。</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（四）省级市场监管专项资金投入成效明显</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1</w:t>
      </w:r>
      <w:r>
        <w:rPr>
          <w:rFonts w:hint="eastAsia" w:ascii="Times New Roman" w:hAnsi="Times New Roman" w:eastAsia="方正仿宋_GBK" w:cs="方正仿宋_GBK"/>
          <w:bCs/>
          <w:sz w:val="32"/>
          <w:szCs w:val="32"/>
          <w:lang w:eastAsia="zh-CN"/>
        </w:rPr>
        <w:t>．</w:t>
      </w:r>
      <w:r>
        <w:rPr>
          <w:rFonts w:hint="eastAsia" w:ascii="Times New Roman" w:hAnsi="Times New Roman" w:eastAsia="方正仿宋_GBK" w:cs="方正仿宋_GBK"/>
          <w:bCs/>
          <w:sz w:val="32"/>
          <w:szCs w:val="32"/>
        </w:rPr>
        <w:t>积极发挥职能效用完成既定目标。</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2024年在省市场局的领导下，中心在全省市场监管信息化工作取得一定成绩。</w:t>
      </w:r>
      <w:r>
        <w:rPr>
          <w:rFonts w:hint="eastAsia" w:ascii="Times New Roman" w:hAnsi="Times New Roman" w:eastAsia="方正仿宋_GBK" w:cs="方正仿宋_GBK"/>
          <w:b/>
          <w:sz w:val="32"/>
          <w:szCs w:val="32"/>
        </w:rPr>
        <w:t>一是</w:t>
      </w:r>
      <w:r>
        <w:rPr>
          <w:rFonts w:hint="eastAsia" w:ascii="Times New Roman" w:hAnsi="Times New Roman" w:eastAsia="方正仿宋_GBK" w:cs="方正仿宋_GBK"/>
          <w:bCs/>
          <w:sz w:val="32"/>
          <w:szCs w:val="32"/>
        </w:rPr>
        <w:t>政务数据共享做出新贡献。梳理编制数据资源目录204条，积极为省局各处室单位及我省其他厅局提供定制化数据服务，有效支撑具体工作开展，截至11月底，我局已累计向其他厅局单位共享数据量达505亿余条，在全省所有省直单位中数据共享供应量排名第一，且我局数据资源的订阅量、关注度全省第一。</w:t>
      </w:r>
      <w:r>
        <w:rPr>
          <w:rFonts w:hint="eastAsia" w:ascii="Times New Roman" w:hAnsi="Times New Roman" w:eastAsia="方正仿宋_GBK" w:cs="方正仿宋_GBK"/>
          <w:b/>
          <w:sz w:val="32"/>
          <w:szCs w:val="32"/>
        </w:rPr>
        <w:t>二是</w:t>
      </w:r>
      <w:r>
        <w:rPr>
          <w:rFonts w:hint="eastAsia" w:ascii="Times New Roman" w:hAnsi="Times New Roman" w:eastAsia="方正仿宋_GBK" w:cs="方正仿宋_GBK"/>
          <w:bCs/>
          <w:sz w:val="32"/>
          <w:szCs w:val="32"/>
        </w:rPr>
        <w:t>优化营商环境迈出新步伐。《树立企业开办“新标杆”，激发经营主体“新动能”》获评全省第二届服务企业群众“十大”典型案例。首次在湖南省内实现电子营业执照“一照通投”，支撑经营主体凭电子营业执照即可在长沙进行投标活动，大大降低了经营主体投标成本。新增上线3个“湘易办”高频查询事项，推动企业信息变更、企业注销登记、开办餐饮店、数据填报、迁移登记5个“高效办成一件事”。年内完成137个“一网通办”事项对接联调，政务服务统一受理接入率91.90%，有效强化政务服务供给，为优化营商环境贡献技术力量。</w:t>
      </w:r>
      <w:r>
        <w:rPr>
          <w:rFonts w:hint="eastAsia" w:ascii="Times New Roman" w:hAnsi="Times New Roman" w:eastAsia="方正仿宋_GBK" w:cs="方正仿宋_GBK"/>
          <w:b/>
          <w:sz w:val="32"/>
          <w:szCs w:val="32"/>
        </w:rPr>
        <w:t>三是</w:t>
      </w:r>
      <w:r>
        <w:rPr>
          <w:rFonts w:hint="eastAsia" w:ascii="Times New Roman" w:hAnsi="Times New Roman" w:eastAsia="方正仿宋_GBK" w:cs="方正仿宋_GBK"/>
          <w:bCs/>
          <w:sz w:val="32"/>
          <w:szCs w:val="32"/>
        </w:rPr>
        <w:t>赋能重点监管实现新突破。构建支撑食品准营准入、重点食品追溯、日常监管、行政执法、综合指挥调度等各项业务的食品安全智慧监管应用，为食品安全智慧监管提供全链条、全流程信息化智力支撑。湖南食品安全综合平台连续获评国家市场监督管理总局“第一届食品安全智慧监管创新案例”“第二届科技赋能食品安全监管十大应用案例之一”“第二届食品安全社会共治典型案例”。今年下半年，国家数据局组织开展“数字中国建设”典型案例征集，湖南食品安全综合平台被省数据局作为我省典型案例推荐，建设成效获得充分肯定。</w:t>
      </w:r>
      <w:r>
        <w:rPr>
          <w:rFonts w:hint="eastAsia" w:ascii="Times New Roman" w:hAnsi="Times New Roman" w:eastAsia="方正仿宋_GBK" w:cs="方正仿宋_GBK"/>
          <w:b/>
          <w:sz w:val="32"/>
          <w:szCs w:val="32"/>
        </w:rPr>
        <w:t>四是</w:t>
      </w:r>
      <w:r>
        <w:rPr>
          <w:rFonts w:hint="eastAsia" w:ascii="Times New Roman" w:hAnsi="Times New Roman" w:eastAsia="方正仿宋_GBK" w:cs="方正仿宋_GBK"/>
          <w:bCs/>
          <w:sz w:val="32"/>
          <w:szCs w:val="32"/>
        </w:rPr>
        <w:t>网络安全保障取得新成效。一是在省委网信办组织的“湖湘杯”网络安全应急演练中，及时发现攻击队伍的攻击、修复漏洞并提交防守报告；二是组织开展2024年省市场监管局网络安全应急演练，共发现漏洞119个，涉及21个业务系统，61台主机，获取敏感数据超5.6万条，五个直属机构被攻击队突破边界进入内网。大数据中心对存在安全问题的单位发送了整改通知并协助整改，及时排除安全隐患，有效提升网络安全保障和应急处置能力。</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2</w:t>
      </w:r>
      <w:r>
        <w:rPr>
          <w:rFonts w:hint="eastAsia" w:ascii="Times New Roman" w:hAnsi="Times New Roman" w:eastAsia="方正仿宋_GBK" w:cs="方正仿宋_GBK"/>
          <w:bCs/>
          <w:sz w:val="32"/>
          <w:szCs w:val="32"/>
          <w:lang w:eastAsia="zh-CN"/>
        </w:rPr>
        <w:t>．</w:t>
      </w:r>
      <w:r>
        <w:rPr>
          <w:rFonts w:hint="eastAsia" w:ascii="Times New Roman" w:hAnsi="Times New Roman" w:eastAsia="方正仿宋_GBK" w:cs="方正仿宋_GBK"/>
          <w:bCs/>
          <w:sz w:val="32"/>
          <w:szCs w:val="32"/>
        </w:rPr>
        <w:t>聚焦监管慧治，保障重点领域坚持高标准。</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
          <w:sz w:val="32"/>
          <w:szCs w:val="32"/>
        </w:rPr>
        <w:t>一是</w:t>
      </w:r>
      <w:r>
        <w:rPr>
          <w:rFonts w:hint="eastAsia" w:ascii="Times New Roman" w:hAnsi="Times New Roman" w:eastAsia="方正仿宋_GBK" w:cs="方正仿宋_GBK"/>
          <w:bCs/>
          <w:sz w:val="32"/>
          <w:szCs w:val="32"/>
        </w:rPr>
        <w:t>全面落实“三品一特”安全战略。加快安全综合监管平台升级改造，通过建设监督检查表单管理、安全舆情监控、食品安全风险预警、安全信用监管等功能，优化完善平台应用，进一步提升湖南省“三品一特”监管的信息化、智能化、精准化水平，实现平台应用与安全监管业务的全方位、多层次融合，为“三品一特”智慧监管提供全链条信息化智力支撑。</w:t>
      </w:r>
      <w:r>
        <w:rPr>
          <w:rFonts w:hint="eastAsia" w:ascii="Times New Roman" w:hAnsi="Times New Roman" w:eastAsia="方正仿宋_GBK" w:cs="方正仿宋_GBK"/>
          <w:b/>
          <w:sz w:val="32"/>
          <w:szCs w:val="32"/>
        </w:rPr>
        <w:t>二是</w:t>
      </w:r>
      <w:r>
        <w:rPr>
          <w:rFonts w:hint="eastAsia" w:ascii="Times New Roman" w:hAnsi="Times New Roman" w:eastAsia="方正仿宋_GBK" w:cs="方正仿宋_GBK"/>
          <w:bCs/>
          <w:sz w:val="32"/>
          <w:szCs w:val="32"/>
        </w:rPr>
        <w:t>持续强化网络监管。在原有网络交易监管系统中新建了网络交易平台内经营者身份信息报送子系统。实现本地平台企业数据报送、数据核验、统计分析，满足国家总局相关要求。开发湖南的标准版的直播系统，采集网络直播短视频平台数据，搭建网络直播短视频主体库、客体库和行为库。建设网络直播短视频监测功能，实现监测线索发现、下发、执行和输出等闭环处置。</w:t>
      </w:r>
      <w:r>
        <w:rPr>
          <w:rFonts w:hint="eastAsia" w:ascii="Times New Roman" w:hAnsi="Times New Roman" w:eastAsia="方正仿宋_GBK" w:cs="方正仿宋_GBK"/>
          <w:b/>
          <w:sz w:val="32"/>
          <w:szCs w:val="32"/>
        </w:rPr>
        <w:t>三是</w:t>
      </w:r>
      <w:r>
        <w:rPr>
          <w:rFonts w:hint="eastAsia" w:ascii="Times New Roman" w:hAnsi="Times New Roman" w:eastAsia="方正仿宋_GBK" w:cs="方正仿宋_GBK"/>
          <w:bCs/>
          <w:sz w:val="32"/>
          <w:szCs w:val="32"/>
        </w:rPr>
        <w:t>不断加强消费者权益保护。持续推进全国12315平台与市州12345系统对接。14个市州本级已全面上线，实现了12315和12345双号并行的业务目标。新建湖南放心消费创建系统，持续完善放心消费创建平台工作流程，满足创建主体申报，公众参与，监管审核的功能需求。建立健全创建主体的信用档案，加快完成放心消费创建主体的评价审核。</w:t>
      </w:r>
      <w:r>
        <w:rPr>
          <w:rFonts w:hint="eastAsia" w:ascii="Times New Roman" w:hAnsi="Times New Roman" w:eastAsia="方正仿宋_GBK" w:cs="方正仿宋_GBK"/>
          <w:b/>
          <w:sz w:val="32"/>
          <w:szCs w:val="32"/>
        </w:rPr>
        <w:t>四是</w:t>
      </w:r>
      <w:r>
        <w:rPr>
          <w:rFonts w:hint="eastAsia" w:ascii="Times New Roman" w:hAnsi="Times New Roman" w:eastAsia="方正仿宋_GBK" w:cs="方正仿宋_GBK"/>
          <w:bCs/>
          <w:sz w:val="32"/>
          <w:szCs w:val="32"/>
        </w:rPr>
        <w:t>不断提升执法办案数字化水平。升级完善全省统一的执法办案管理系统，统一数据标准，规范执法办案流程，解决我省向总局统计调查信息系统、中国市场监管行政处罚文书网、全国市场监管行政执法平台等系统报送数据的问题。</w:t>
      </w:r>
      <w:r>
        <w:rPr>
          <w:rFonts w:hint="eastAsia" w:ascii="Times New Roman" w:hAnsi="Times New Roman" w:eastAsia="方正仿宋_GBK" w:cs="方正仿宋_GBK"/>
          <w:b/>
          <w:sz w:val="32"/>
          <w:szCs w:val="32"/>
        </w:rPr>
        <w:t>五是</w:t>
      </w:r>
      <w:r>
        <w:rPr>
          <w:rFonts w:hint="eastAsia" w:ascii="Times New Roman" w:hAnsi="Times New Roman" w:eastAsia="方正仿宋_GBK" w:cs="方正仿宋_GBK"/>
          <w:bCs/>
          <w:sz w:val="32"/>
          <w:szCs w:val="32"/>
        </w:rPr>
        <w:t>积极推进我省知识产权强省建设任务。积极推动地理标志信息查询系统与知识产权战略推进专项申报系统升级改造，完善地理标志区县级行政地图相关功能，提高地理标志展示颗粒度，优化专项申报流程，进一步提高服务效能。</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3</w:t>
      </w:r>
      <w:r>
        <w:rPr>
          <w:rFonts w:hint="eastAsia" w:ascii="Times New Roman" w:hAnsi="Times New Roman" w:eastAsia="方正仿宋_GBK" w:cs="方正仿宋_GBK"/>
          <w:bCs/>
          <w:sz w:val="32"/>
          <w:szCs w:val="32"/>
          <w:lang w:eastAsia="zh-CN"/>
        </w:rPr>
        <w:t>．</w:t>
      </w:r>
      <w:r>
        <w:rPr>
          <w:rFonts w:hint="eastAsia" w:ascii="Times New Roman" w:hAnsi="Times New Roman" w:eastAsia="方正仿宋_GBK" w:cs="方正仿宋_GBK"/>
          <w:bCs/>
          <w:sz w:val="32"/>
          <w:szCs w:val="32"/>
        </w:rPr>
        <w:t>把控项目质量，系统建设管理坚持高水平。</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
          <w:sz w:val="32"/>
          <w:szCs w:val="32"/>
        </w:rPr>
        <w:t>一是</w:t>
      </w:r>
      <w:r>
        <w:rPr>
          <w:rFonts w:hint="eastAsia" w:ascii="Times New Roman" w:hAnsi="Times New Roman" w:eastAsia="方正仿宋_GBK" w:cs="方正仿宋_GBK"/>
          <w:bCs/>
          <w:sz w:val="32"/>
          <w:szCs w:val="32"/>
        </w:rPr>
        <w:t>强化项目管理意识。认真梳理并组织机关处室和直属单位学习信息化项目信息化项目建设流程，落实省政府关于项目建设的相关文件，学习湖北省、其他厅局在项目建设方面的先进经验和做法，省局综合业务系统（一期）项目通过竣工验收，以此推动项目建设工作再上新台阶。</w:t>
      </w:r>
      <w:r>
        <w:rPr>
          <w:rFonts w:hint="eastAsia" w:ascii="Times New Roman" w:hAnsi="Times New Roman" w:eastAsia="方正仿宋_GBK" w:cs="方正仿宋_GBK"/>
          <w:b/>
          <w:sz w:val="32"/>
          <w:szCs w:val="32"/>
        </w:rPr>
        <w:t>二是</w:t>
      </w:r>
      <w:r>
        <w:rPr>
          <w:rFonts w:hint="eastAsia" w:ascii="Times New Roman" w:hAnsi="Times New Roman" w:eastAsia="方正仿宋_GBK" w:cs="方正仿宋_GBK"/>
          <w:bCs/>
          <w:sz w:val="32"/>
          <w:szCs w:val="32"/>
        </w:rPr>
        <w:t>强化项目日常管理和督导服务。定期召开项目监理会、推进会，加强管理，督促进度，适时通报项目建设进度、投资完成等情况，努力形成项目“晒比拼超”的良好态势。</w:t>
      </w:r>
      <w:r>
        <w:rPr>
          <w:rFonts w:hint="eastAsia" w:ascii="Times New Roman" w:hAnsi="Times New Roman" w:eastAsia="方正仿宋_GBK" w:cs="方正仿宋_GBK"/>
          <w:b/>
          <w:sz w:val="32"/>
          <w:szCs w:val="32"/>
        </w:rPr>
        <w:t>三是</w:t>
      </w:r>
      <w:r>
        <w:rPr>
          <w:rFonts w:hint="eastAsia" w:ascii="Times New Roman" w:hAnsi="Times New Roman" w:eastAsia="方正仿宋_GBK" w:cs="方正仿宋_GBK"/>
          <w:bCs/>
          <w:sz w:val="32"/>
          <w:szCs w:val="32"/>
        </w:rPr>
        <w:t>严格落实项目专班制度，提升项目管理水平。通过修订《湖南省市场监督管理局信息化项目建设专班工作规范》，安排中心技术人员参加对应项目专班，一体化综合市场监管平台数据中心通过终验，确保项目按照既定时间节点稳步推进。同时，开展项目的监理、档案、软测、等保及密评、结算审计等工作，确保项目施工质量和效益最大化。精心谋划项目计划，深入研究国省政策，做实项目前期工作，完成《全国市场监管数字化试验区（湖南）建设方案》编制和综合业务系统（二期）项目密码应用方案评估及备案。</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4</w:t>
      </w:r>
      <w:r>
        <w:rPr>
          <w:rFonts w:hint="eastAsia" w:ascii="Times New Roman" w:hAnsi="Times New Roman" w:eastAsia="方正仿宋_GBK" w:cs="方正仿宋_GBK"/>
          <w:bCs/>
          <w:sz w:val="32"/>
          <w:szCs w:val="32"/>
          <w:lang w:eastAsia="zh-CN"/>
        </w:rPr>
        <w:t>．</w:t>
      </w:r>
      <w:r>
        <w:rPr>
          <w:rFonts w:hint="eastAsia" w:ascii="Times New Roman" w:hAnsi="Times New Roman" w:eastAsia="方正仿宋_GBK" w:cs="方正仿宋_GBK"/>
          <w:bCs/>
          <w:sz w:val="32"/>
          <w:szCs w:val="32"/>
        </w:rPr>
        <w:t>服务系统运行，安全运维保障坚持高要求。</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textAlignment w:val="auto"/>
        <w:rPr>
          <w:rFonts w:hint="eastAsia" w:ascii="Times New Roman" w:hAnsi="Times New Roman" w:eastAsia="方正仿宋_GBK" w:cs="方正仿宋_GBK"/>
          <w:bCs/>
          <w:sz w:val="32"/>
          <w:szCs w:val="32"/>
        </w:rPr>
      </w:pPr>
      <w:r>
        <w:rPr>
          <w:rFonts w:hint="eastAsia" w:ascii="Times New Roman" w:hAnsi="Times New Roman" w:eastAsia="方正仿宋_GBK" w:cs="方正仿宋_GBK"/>
          <w:b/>
          <w:sz w:val="32"/>
          <w:szCs w:val="32"/>
        </w:rPr>
        <w:t>一是</w:t>
      </w:r>
      <w:r>
        <w:rPr>
          <w:rFonts w:hint="eastAsia" w:ascii="Times New Roman" w:hAnsi="Times New Roman" w:eastAsia="方正仿宋_GBK" w:cs="方正仿宋_GBK"/>
          <w:bCs/>
          <w:sz w:val="32"/>
          <w:szCs w:val="32"/>
        </w:rPr>
        <w:t>强化运维管理。通过实施一体化运维体系，为全省业务系统提供技术支撑，全年累计提供55650次，技术服务涵盖了从系统监控、故障排查到性能优化等多个关键环节，涉及到每个在用信息化系统。每当系统发生故障，都能够迅速行动，及时处理处置，大大减少了因系统故障导致的业务中断时间。通过一体化运维，我们确保了系统稳定运行，为全省市场监管业务工作的蓬勃发展提供了有力的保障。</w:t>
      </w:r>
      <w:r>
        <w:rPr>
          <w:rFonts w:hint="eastAsia" w:ascii="Times New Roman" w:hAnsi="Times New Roman" w:eastAsia="方正仿宋_GBK" w:cs="方正仿宋_GBK"/>
          <w:b/>
          <w:sz w:val="32"/>
          <w:szCs w:val="32"/>
        </w:rPr>
        <w:t>二是</w:t>
      </w:r>
      <w:r>
        <w:rPr>
          <w:rFonts w:hint="eastAsia" w:ascii="Times New Roman" w:hAnsi="Times New Roman" w:eastAsia="方正仿宋_GBK" w:cs="方正仿宋_GBK"/>
          <w:bCs/>
          <w:sz w:val="32"/>
          <w:szCs w:val="32"/>
        </w:rPr>
        <w:t>加大网络安全保障。严格按照网络安全法，全面落实信息系统安全等级保护制度，明确保护等级、制定针对性的安全防护策略，构建完整的安全防护体系。组织开展网络安全应急演练全面检验我局应急响应能力，及时发现并排除潜在安全隐患，通过实战模拟，进一步提升应急处理水平，确保在紧急情况下能够迅速行动，有效保障信息系统的安全稳定运行。</w:t>
      </w:r>
      <w:r>
        <w:rPr>
          <w:rFonts w:hint="eastAsia" w:ascii="Times New Roman" w:hAnsi="Times New Roman" w:eastAsia="方正仿宋_GBK" w:cs="方正仿宋_GBK"/>
          <w:b/>
          <w:sz w:val="32"/>
          <w:szCs w:val="32"/>
        </w:rPr>
        <w:t>三是</w:t>
      </w:r>
      <w:r>
        <w:rPr>
          <w:rFonts w:hint="eastAsia" w:ascii="Times New Roman" w:hAnsi="Times New Roman" w:eastAsia="方正仿宋_GBK" w:cs="方正仿宋_GBK"/>
          <w:bCs/>
          <w:sz w:val="32"/>
          <w:szCs w:val="32"/>
        </w:rPr>
        <w:t>提升信息化人员能力。成功举办了全省市场监管部门2024年信息化专题培训班，省局机关相关处室、直属机构以及各市州信息化部门</w:t>
      </w:r>
      <w:r>
        <w:rPr>
          <w:rFonts w:hint="eastAsia" w:ascii="Times New Roman" w:hAnsi="Times New Roman" w:eastAsia="方正仿宋_GBK" w:cs="方正仿宋_GBK"/>
          <w:bCs/>
          <w:sz w:val="32"/>
          <w:szCs w:val="32"/>
          <w:lang w:val="en-US" w:eastAsia="zh-CN"/>
        </w:rPr>
        <w:t>75</w:t>
      </w:r>
      <w:r>
        <w:rPr>
          <w:rFonts w:hint="eastAsia" w:ascii="Times New Roman" w:hAnsi="Times New Roman" w:eastAsia="方正仿宋_GBK" w:cs="方正仿宋_GBK"/>
          <w:bCs/>
          <w:sz w:val="32"/>
          <w:szCs w:val="32"/>
        </w:rPr>
        <w:t>人参加；与多个直属机构一起在深圳、苏州、长沙等共同组织湖南省市场监管系统干部综合能力提升培训班。通过培训不仅提高了参训人员的信息化素养和综合能力，还为他们提供了与不同地区、不同机构交流学习的机会，有助于推动信息化干部的素质和能力水平的提升，更好地服务各条线业务系统的运行保障。</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七、存在的问题及原因分析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通过本次绩效自评，我中心从预算和预算绩效管理，部门履职效能，资金使用管理和政府采购方面发现还存在以下不足：</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（一）预算和预算绩效管理</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sz w:val="32"/>
          <w:szCs w:val="32"/>
          <w:lang w:eastAsia="zh-CN"/>
        </w:rPr>
        <w:t>预算管理与项目建设融合度有待提高</w:t>
      </w:r>
      <w:r>
        <w:rPr>
          <w:rFonts w:hint="eastAsia" w:ascii="Times New Roman" w:hAnsi="Times New Roman" w:eastAsia="方正仿宋_GBK" w:cs="方正仿宋_GBK"/>
          <w:sz w:val="32"/>
          <w:szCs w:val="32"/>
        </w:rPr>
        <w:t>，项目实施</w:t>
      </w:r>
      <w:r>
        <w:rPr>
          <w:rFonts w:hint="eastAsia" w:ascii="Times New Roman" w:hAnsi="Times New Roman" w:eastAsia="方正仿宋_GBK" w:cs="方正仿宋_GBK"/>
          <w:sz w:val="32"/>
          <w:szCs w:val="32"/>
          <w:lang w:eastAsia="zh-CN"/>
        </w:rPr>
        <w:t>过程中</w:t>
      </w:r>
      <w:r>
        <w:rPr>
          <w:rFonts w:hint="eastAsia" w:ascii="Times New Roman" w:hAnsi="Times New Roman" w:eastAsia="方正仿宋_GBK" w:cs="方正仿宋_GBK"/>
          <w:sz w:val="32"/>
          <w:szCs w:val="32"/>
        </w:rPr>
        <w:t>绩效管</w:t>
      </w:r>
      <w:r>
        <w:rPr>
          <w:rFonts w:hint="eastAsia" w:ascii="Times New Roman" w:hAnsi="Times New Roman" w:eastAsia="方正仿宋_GBK" w:cs="方正仿宋_GBK"/>
          <w:bCs/>
          <w:sz w:val="32"/>
          <w:szCs w:val="32"/>
        </w:rPr>
        <w:t>理意识有待加强，按绩效目标推动预算执行率</w:t>
      </w:r>
      <w:r>
        <w:rPr>
          <w:rFonts w:hint="eastAsia" w:ascii="Times New Roman" w:hAnsi="Times New Roman" w:eastAsia="方正仿宋_GBK" w:cs="方正仿宋_GBK"/>
          <w:bCs/>
          <w:sz w:val="32"/>
          <w:szCs w:val="32"/>
          <w:lang w:eastAsia="zh-CN"/>
        </w:rPr>
        <w:t>力度不够</w:t>
      </w:r>
      <w:r>
        <w:rPr>
          <w:rFonts w:hint="eastAsia" w:ascii="Times New Roman" w:hAnsi="Times New Roman" w:eastAsia="方正仿宋_GBK" w:cs="方正仿宋_GBK"/>
          <w:bCs/>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（二）履职效能方面</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b/>
          <w:bCs/>
          <w:sz w:val="32"/>
          <w:szCs w:val="32"/>
        </w:rPr>
        <w:t>一是</w:t>
      </w:r>
      <w:r>
        <w:rPr>
          <w:rFonts w:hint="eastAsia" w:ascii="Times New Roman" w:hAnsi="Times New Roman" w:eastAsia="方正仿宋_GBK" w:cs="方正仿宋_GBK"/>
          <w:sz w:val="32"/>
          <w:szCs w:val="32"/>
        </w:rPr>
        <w:t>三大板块融合不深。现有的“一体化市场准入准营”、“一体化市场监管执法”、“一体化综合管理”三大板块建设的内容是根据上级要求结合我省实际而开发的相关业务系统，做到了统一门户、统一用户，</w:t>
      </w:r>
      <w:r>
        <w:rPr>
          <w:rFonts w:hint="eastAsia" w:ascii="Times New Roman" w:hAnsi="Times New Roman" w:eastAsia="方正仿宋_GBK" w:cs="方正仿宋_GBK"/>
          <w:sz w:val="32"/>
          <w:szCs w:val="32"/>
          <w:lang w:eastAsia="zh-CN"/>
        </w:rPr>
        <w:t>虽</w:t>
      </w:r>
      <w:r>
        <w:rPr>
          <w:rFonts w:hint="eastAsia" w:ascii="Times New Roman" w:hAnsi="Times New Roman" w:eastAsia="方正仿宋_GBK" w:cs="方正仿宋_GBK"/>
          <w:sz w:val="32"/>
          <w:szCs w:val="32"/>
        </w:rPr>
        <w:t>做到了物理融合，</w:t>
      </w:r>
      <w:r>
        <w:rPr>
          <w:rFonts w:hint="eastAsia" w:ascii="Times New Roman" w:hAnsi="Times New Roman" w:eastAsia="方正仿宋_GBK" w:cs="方正仿宋_GBK"/>
          <w:sz w:val="32"/>
          <w:szCs w:val="32"/>
          <w:lang w:eastAsia="zh-CN"/>
        </w:rPr>
        <w:t>但在</w:t>
      </w:r>
      <w:r>
        <w:rPr>
          <w:rFonts w:hint="eastAsia" w:ascii="Times New Roman" w:hAnsi="Times New Roman" w:eastAsia="方正仿宋_GBK" w:cs="方正仿宋_GBK"/>
          <w:sz w:val="32"/>
          <w:szCs w:val="32"/>
        </w:rPr>
        <w:t>化学融合</w:t>
      </w:r>
      <w:r>
        <w:rPr>
          <w:rFonts w:hint="eastAsia" w:ascii="Times New Roman" w:hAnsi="Times New Roman" w:eastAsia="方正仿宋_GBK" w:cs="方正仿宋_GBK"/>
          <w:sz w:val="32"/>
          <w:szCs w:val="32"/>
          <w:lang w:eastAsia="zh-CN"/>
        </w:rPr>
        <w:t>上有待提高</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b/>
          <w:bCs/>
          <w:sz w:val="32"/>
          <w:szCs w:val="32"/>
        </w:rPr>
        <w:t>二是</w:t>
      </w:r>
      <w:r>
        <w:rPr>
          <w:rFonts w:hint="eastAsia" w:ascii="Times New Roman" w:hAnsi="Times New Roman" w:eastAsia="方正仿宋_GBK" w:cs="方正仿宋_GBK"/>
          <w:sz w:val="32"/>
          <w:szCs w:val="32"/>
        </w:rPr>
        <w:t>数据治理不够彻底。自市场监管局成立以来，来自多个局的多个系统进行了多次的迭代或合并，但相关业务的历史数据没有进行系统性的清理，做</w:t>
      </w:r>
      <w:r>
        <w:rPr>
          <w:rFonts w:hint="eastAsia" w:ascii="Times New Roman" w:hAnsi="Times New Roman" w:eastAsia="方正仿宋_GBK" w:cs="方正仿宋_GBK"/>
          <w:sz w:val="32"/>
          <w:szCs w:val="32"/>
          <w:lang w:eastAsia="zh-CN"/>
        </w:rPr>
        <w:t>到</w:t>
      </w:r>
      <w:r>
        <w:rPr>
          <w:rFonts w:hint="eastAsia" w:ascii="Times New Roman" w:hAnsi="Times New Roman" w:eastAsia="方正仿宋_GBK" w:cs="方正仿宋_GBK"/>
          <w:sz w:val="32"/>
          <w:szCs w:val="32"/>
        </w:rPr>
        <w:t>了合并和导入，</w:t>
      </w:r>
      <w:r>
        <w:rPr>
          <w:rFonts w:hint="eastAsia" w:ascii="Times New Roman" w:hAnsi="Times New Roman" w:eastAsia="方正仿宋_GBK" w:cs="方正仿宋_GBK"/>
          <w:sz w:val="32"/>
          <w:szCs w:val="32"/>
          <w:lang w:eastAsia="zh-CN"/>
        </w:rPr>
        <w:t>但</w:t>
      </w:r>
      <w:r>
        <w:rPr>
          <w:rFonts w:hint="eastAsia" w:ascii="Times New Roman" w:hAnsi="Times New Roman" w:eastAsia="方正仿宋_GBK" w:cs="方正仿宋_GBK"/>
          <w:sz w:val="32"/>
          <w:szCs w:val="32"/>
        </w:rPr>
        <w:t>数据不完整、</w:t>
      </w:r>
      <w:r>
        <w:rPr>
          <w:rFonts w:hint="eastAsia" w:ascii="Times New Roman" w:hAnsi="Times New Roman" w:eastAsia="方正仿宋_GBK" w:cs="方正仿宋_GBK"/>
          <w:spacing w:val="-6"/>
          <w:sz w:val="32"/>
          <w:szCs w:val="32"/>
        </w:rPr>
        <w:t>不准确，数据应用、共享、分析等数据开发工作</w:t>
      </w:r>
      <w:r>
        <w:rPr>
          <w:rFonts w:hint="eastAsia" w:ascii="Times New Roman" w:hAnsi="Times New Roman" w:eastAsia="方正仿宋_GBK" w:cs="方正仿宋_GBK"/>
          <w:spacing w:val="-6"/>
          <w:sz w:val="32"/>
          <w:szCs w:val="32"/>
          <w:lang w:eastAsia="zh-CN"/>
        </w:rPr>
        <w:t>的有效性有待提升</w:t>
      </w:r>
      <w:r>
        <w:rPr>
          <w:rFonts w:hint="eastAsia" w:ascii="Times New Roman" w:hAnsi="Times New Roman" w:eastAsia="方正仿宋_GBK" w:cs="方正仿宋_GBK"/>
          <w:spacing w:val="-6"/>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（三）资金使用管理方面</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未及时推进项目资金支付，2024年信息化项目有104.68万元项目已采购但暂未支付，将于2025年支付完成，</w:t>
      </w:r>
      <w:r>
        <w:rPr>
          <w:rFonts w:hint="eastAsia" w:ascii="Times New Roman" w:hAnsi="Times New Roman" w:eastAsia="方正仿宋_GBK" w:cs="方正仿宋_GBK"/>
          <w:sz w:val="32"/>
          <w:szCs w:val="32"/>
          <w:lang w:eastAsia="zh-CN"/>
        </w:rPr>
        <w:t>故</w:t>
      </w:r>
      <w:r>
        <w:rPr>
          <w:rFonts w:hint="eastAsia" w:ascii="Times New Roman" w:hAnsi="Times New Roman" w:eastAsia="方正仿宋_GBK" w:cs="方正仿宋_GBK"/>
          <w:sz w:val="32"/>
          <w:szCs w:val="32"/>
        </w:rPr>
        <w:t>全年</w:t>
      </w:r>
      <w:r>
        <w:rPr>
          <w:rFonts w:hint="eastAsia" w:ascii="Times New Roman" w:hAnsi="Times New Roman" w:eastAsia="方正仿宋_GBK" w:cs="方正仿宋_GBK"/>
          <w:sz w:val="32"/>
          <w:szCs w:val="32"/>
          <w:lang w:eastAsia="zh-CN"/>
        </w:rPr>
        <w:t>整体</w:t>
      </w:r>
      <w:r>
        <w:rPr>
          <w:rFonts w:hint="eastAsia" w:ascii="Times New Roman" w:hAnsi="Times New Roman" w:eastAsia="方正仿宋_GBK" w:cs="方正仿宋_GBK"/>
          <w:sz w:val="32"/>
          <w:szCs w:val="32"/>
        </w:rPr>
        <w:t>预算执行率为</w:t>
      </w:r>
      <w:r>
        <w:rPr>
          <w:rFonts w:hint="eastAsia" w:ascii="Times New Roman" w:hAnsi="Times New Roman" w:eastAsia="方正仿宋_GBK" w:cs="方正仿宋_GBK"/>
          <w:sz w:val="32"/>
          <w:szCs w:val="32"/>
          <w:lang w:val="en-US" w:eastAsia="zh-CN"/>
        </w:rPr>
        <w:t>89.86</w:t>
      </w:r>
      <w:r>
        <w:rPr>
          <w:rFonts w:hint="eastAsia" w:ascii="Times New Roman" w:hAnsi="Times New Roman" w:eastAsia="方正仿宋_GBK" w:cs="方正仿宋_GBK"/>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lang w:val="en-US"/>
        </w:rPr>
      </w:pPr>
      <w:r>
        <w:rPr>
          <w:rFonts w:hint="eastAsia" w:ascii="Times New Roman" w:hAnsi="Times New Roman" w:eastAsia="方正仿宋_GBK" w:cs="方正仿宋_GBK"/>
          <w:sz w:val="32"/>
          <w:szCs w:val="32"/>
          <w:lang w:eastAsia="zh-CN"/>
        </w:rPr>
        <w:t>暂未支付的情况说明：</w:t>
      </w:r>
      <w:r>
        <w:rPr>
          <w:rFonts w:hint="eastAsia" w:ascii="Times New Roman" w:hAnsi="Times New Roman" w:eastAsia="方正仿宋_GBK" w:cs="方正仿宋_GBK"/>
          <w:sz w:val="32"/>
          <w:szCs w:val="32"/>
          <w:lang w:val="en-US" w:eastAsia="zh-CN"/>
        </w:rPr>
        <w:t>省市场监督管理局2025年度信息系统一体化运维服务项目经公开招标，于2024年11月25日在省财政一体化平台发布中标（成交）公告，中标单位为“湖南轻山信息技术有限公司”。在合同签订期间，我单位与中标单位就驻场人员问题多次沟通协商，由于中标单位人员不能完全响应招投标文件要求，湖南轻山信息技术有限公司于2025年2月主动放弃中标资格。由于没有及时签订运维合同，2024年运维预算金额未及时支付，影响了预算执行率，未达到95%。</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（四）政府采购方面</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由于信息化项目审批流程周期较长，</w:t>
      </w:r>
      <w:r>
        <w:rPr>
          <w:rFonts w:hint="eastAsia" w:ascii="Times New Roman" w:hAnsi="Times New Roman" w:eastAsia="方正仿宋_GBK" w:cs="方正仿宋_GBK"/>
          <w:sz w:val="32"/>
          <w:szCs w:val="32"/>
          <w:lang w:eastAsia="zh-CN"/>
        </w:rPr>
        <w:t>致使</w:t>
      </w:r>
      <w:r>
        <w:rPr>
          <w:rFonts w:hint="eastAsia" w:ascii="Times New Roman" w:hAnsi="Times New Roman" w:eastAsia="方正仿宋_GBK" w:cs="方正仿宋_GBK"/>
          <w:bCs/>
          <w:sz w:val="32"/>
          <w:szCs w:val="32"/>
          <w:lang w:eastAsia="zh-CN"/>
        </w:rPr>
        <w:t>有的信息化项目很难按计划时间建设</w:t>
      </w:r>
      <w:r>
        <w:rPr>
          <w:rFonts w:hint="eastAsia" w:ascii="Times New Roman" w:hAnsi="Times New Roman" w:eastAsia="方正仿宋_GBK" w:cs="方正仿宋_GBK"/>
          <w:sz w:val="32"/>
          <w:szCs w:val="32"/>
        </w:rPr>
        <w:t>，实际建设需求就需要根据新要求改变或增加相应建设内容，供需矛盾较为突出。</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八、下一步改进措施</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（一）加强绩效管理，提高资金效益</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压实部门内部绩效管理主体责任，加大预算绩效管理培训力度，强化对预算绩效管理的认识，提高绩效管理水平。将预算绩效理念贯穿预算执行全过程，根据年初预算批复、绩效目标批复，做好年度执行中的绩效监控，加大对预算执行的监督力度，及时纠正偏差，确保实现年度绩效目标。</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（二）加快业务项目建设，提升履职效能</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 xml:space="preserve">推进板块融合，制定板块融合规划方案。认真落实湖南省市场监督管理局《“十四五”市场监管信息化发展规划》，按照“整体规划、分步实施、重点保障”思路，重构市场监管底层法人平台，确立“三大板块”整合融合规划方案。 </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开展政务信息系统数据标准体系建设工作。编制各业务条线信息系统底层数据建设标准，进一步规范信息系统产生的数据资源，提升数据共享应用的质量，有效避免数据共享应用的主观性、随意性。</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开展数据治理融合工作。通过全面梳理现有业务系统和数据库，系统性地清洗历史数据，确保我局归集的数据能真正有效的支撑我省经济发展决策。</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补齐安全短板。一方面进一步压实各直属单位网络安全工作责任，对全系统信息化系统开展等级保护定级工作，开展等保测评与密码测评工作，同步加强网络防护能力，保障网络安全，提升我局整体安全防护水平。另一方面加快信息系统迁移工作，加强托管在政务云上系统的安全监测能力，及时发安全风险，并采取有效措施，排除安全隐患。</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5</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完成地方标准修订工作。按照省数据共享攻坚方案的要求，完成对法人库“法人单位基础信息共享数据元”等四个地方标准的修订工作，更好支撑全省法人数据共享共用。</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（三）强化资金管理和财务管理，保障资金安全</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强化专项资金管理，避免资金沉淀，充分发挥资金效益，加快预算执行。建立业务部门与财务部门长效联动机制，加强沟通协调，推动项目实施进度，提高预算执行率。同时，加强财务人员财政政策和业务培训，优化财会人员的知识结构，提高财会人员的整体专业技能，全面提升系统财务管理水平。</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（四）强化政府采购预算约束力，加快项目落地</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严格把控项目立项进度和时间节点，精准把握项目立项与资金使用的时间节点，充分沟通采购需求，确保采购流程合理合规，做好采购项目的监管工作。 </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九、单位整体支出绩效自评结果拟应用和公开情况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本中心</w:t>
      </w:r>
      <w:r>
        <w:rPr>
          <w:rFonts w:hint="eastAsia" w:ascii="Times New Roman" w:hAnsi="Times New Roman" w:eastAsia="方正仿宋_GBK" w:cs="方正仿宋_GBK"/>
          <w:sz w:val="32"/>
          <w:szCs w:val="32"/>
          <w:lang w:eastAsia="zh-CN"/>
        </w:rPr>
        <w:t>依据《湖南省财政厅关于开展2024年度省级预算部门绩效自评和部门评价的通知》（湘财绩〔2025〕2号）要求，</w:t>
      </w:r>
      <w:r>
        <w:rPr>
          <w:rFonts w:hint="eastAsia" w:ascii="Times New Roman" w:hAnsi="Times New Roman" w:eastAsia="方正仿宋_GBK" w:cs="方正仿宋_GBK"/>
          <w:sz w:val="32"/>
          <w:szCs w:val="32"/>
        </w:rPr>
        <w:t>从预算编制、预算管理、职责履行和履职效益、项目管理等方面进行综合评价，评价结果将作为本中心工作考核的重点，整体自评结果拟将按要求进行公开。</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十、其他需要说明的情况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无其他需要说明的情况。</w:t>
      </w:r>
    </w:p>
    <w:p>
      <w:pPr>
        <w:keepNext w:val="0"/>
        <w:keepLines w:val="0"/>
        <w:pageBreakBefore w:val="0"/>
        <w:widowControl w:val="0"/>
        <w:kinsoku/>
        <w:wordWrap/>
        <w:overflowPunct/>
        <w:topLinePunct/>
        <w:autoSpaceDE/>
        <w:autoSpaceDN/>
        <w:bidi w:val="0"/>
        <w:adjustRightInd w:val="0"/>
        <w:snapToGrid w:val="0"/>
        <w:spacing w:line="600" w:lineRule="exact"/>
        <w:ind w:left="0" w:leftChars="0" w:firstLine="0" w:firstLineChars="0"/>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附件：1．2024年度单位整体支出绩效评价基础数据表</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2．2024年度单位整体支出绩效自评表</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3．2024年度项目支出绩效自评表（业务工作经费）</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w:t>
      </w:r>
      <w:r>
        <w:rPr>
          <w:rFonts w:hint="eastAsia" w:ascii="Times New Roman" w:hAnsi="Times New Roman" w:eastAsia="方正仿宋_GBK" w:cs="方正仿宋_GBK"/>
          <w:spacing w:val="-6"/>
          <w:sz w:val="32"/>
          <w:szCs w:val="32"/>
        </w:rPr>
        <w:t>2024年度项目支出绩效自评表（省级市场监管专项）</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5．2024年度项目支出绩效自评表（运行维护专项）</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6．2024年度项目支出绩效自评表（其他事业发展类）</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sectPr>
          <w:headerReference r:id="rId6" w:type="default"/>
          <w:footerReference r:id="rId7"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仿宋_GBK" w:cs="方正仿宋_GBK"/>
          <w:sz w:val="32"/>
          <w:szCs w:val="32"/>
        </w:rPr>
        <w:t xml:space="preserve">7．单位整体支出绩效自评工作考核评分表      </w:t>
      </w:r>
      <w:r>
        <w:rPr>
          <w:rFonts w:hint="eastAsia" w:ascii="Times New Roman" w:hAnsi="Times New Roman" w:eastAsia="仿宋_GB2312" w:cs="Times New Roman"/>
          <w:sz w:val="32"/>
          <w:szCs w:val="32"/>
        </w:rPr>
        <w:t xml:space="preserve">                      </w:t>
      </w: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附件1</w:t>
      </w: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2024年度单位整体支出绩效评价基础数据表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139"/>
        <w:gridCol w:w="1115"/>
        <w:gridCol w:w="798"/>
        <w:gridCol w:w="1059"/>
        <w:gridCol w:w="1043"/>
        <w:gridCol w:w="1015"/>
        <w:gridCol w:w="90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vMerge w:val="restart"/>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财政供养人员情况（人）</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编制数</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2024年实际在职人数</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控制率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vMerge w:val="continue"/>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19</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17</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89.47%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经费控制情况（万元）</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2023年决算数</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2024年预算数</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2024年决算数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三公经费：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6.99</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33</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27.01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1、公务用车购置和维护经费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5.78</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26.44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其中：公车购置</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25</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24.98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公车运行维护</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5.78</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2、出国经费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3、公务接待</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1.21</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798.67</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1160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1047.80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1、业务工作经费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lang w:val="en"/>
              </w:rPr>
            </w:pPr>
            <w:r>
              <w:rPr>
                <w:rFonts w:hint="eastAsia" w:ascii="Times New Roman" w:hAnsi="Times New Roman" w:eastAsia="方正仿宋_GBK" w:cs="方正仿宋_GBK"/>
                <w:sz w:val="21"/>
                <w:szCs w:val="21"/>
              </w:rPr>
              <w:t>52.4</w:t>
            </w:r>
            <w:r>
              <w:rPr>
                <w:rFonts w:hint="eastAsia" w:ascii="Times New Roman" w:hAnsi="Times New Roman" w:eastAsia="方正仿宋_GBK" w:cs="方正仿宋_GBK"/>
                <w:sz w:val="21"/>
                <w:szCs w:val="21"/>
                <w:lang w:val="en"/>
              </w:rPr>
              <w: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2、运行维护经费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420" w:firstLineChars="20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3、其他事业发展资金</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13.09</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420" w:firstLineChars="20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4、省级市场监管专项资金</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785.58</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公用经费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234.35</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117.82</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63.58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其中：办公经费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9.62</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25</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水费、电费、差旅费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10.69 </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8.63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会议费、培训费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9.57</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政府采购金额</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部门基本支出预算调整 </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vMerge w:val="restart"/>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楼堂馆所控制情况</w:t>
            </w:r>
          </w:p>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（2024年完工项目）</w:t>
            </w:r>
          </w:p>
        </w:tc>
        <w:tc>
          <w:tcPr>
            <w:tcW w:w="115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批复规模</w:t>
            </w:r>
          </w:p>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w:t>
            </w:r>
          </w:p>
        </w:tc>
        <w:tc>
          <w:tcPr>
            <w:tcW w:w="822"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实际规模（㎡）</w:t>
            </w:r>
          </w:p>
        </w:tc>
        <w:tc>
          <w:tcPr>
            <w:tcW w:w="1092"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规模控制率</w:t>
            </w:r>
          </w:p>
        </w:tc>
        <w:tc>
          <w:tcPr>
            <w:tcW w:w="1075"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预算投资</w:t>
            </w:r>
          </w:p>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（万元）</w:t>
            </w:r>
          </w:p>
        </w:tc>
        <w:tc>
          <w:tcPr>
            <w:tcW w:w="1046"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实际投资（万元）</w:t>
            </w:r>
          </w:p>
        </w:tc>
        <w:tc>
          <w:tcPr>
            <w:tcW w:w="929"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投资概算控制率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vMerge w:val="continue"/>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p>
        </w:tc>
        <w:tc>
          <w:tcPr>
            <w:tcW w:w="115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822"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092"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075"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046"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929"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厉行节约保障措施</w:t>
            </w:r>
          </w:p>
        </w:tc>
        <w:tc>
          <w:tcPr>
            <w:tcW w:w="6114" w:type="dxa"/>
            <w:gridSpan w:val="6"/>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说明：“项目支出”需要填报基本支出以外的所有项目支出情况，“公用经费”填报基本支出中的一般商品和服务支出。</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黑体" w:cs="Times New Roman"/>
          <w:sz w:val="32"/>
          <w:szCs w:val="32"/>
        </w:rPr>
      </w:pPr>
      <w:r>
        <w:rPr>
          <w:rFonts w:hint="eastAsia" w:ascii="Times New Roman" w:hAnsi="Times New Roman" w:eastAsia="方正楷体_GBK" w:cs="方正楷体_GBK"/>
          <w:sz w:val="24"/>
          <w:szCs w:val="24"/>
        </w:rPr>
        <w:t>单位负责人签字：</w:t>
      </w:r>
      <w:r>
        <w:rPr>
          <w:rFonts w:ascii="Times New Roman" w:hAnsi="Times New Roman" w:eastAsia="仿宋_GB2312" w:cs="Times New Roman"/>
          <w:sz w:val="20"/>
          <w:szCs w:val="24"/>
        </w:rPr>
        <w:br w:type="page"/>
      </w:r>
      <w:r>
        <w:rPr>
          <w:rFonts w:hint="eastAsia" w:ascii="Times New Roman" w:hAnsi="Times New Roman" w:eastAsia="方正黑体_GBK" w:cs="方正黑体_GBK"/>
          <w:b w:val="0"/>
          <w:bCs w:val="0"/>
          <w:sz w:val="32"/>
          <w:szCs w:val="32"/>
        </w:rPr>
        <w:t>附件2</w:t>
      </w:r>
    </w:p>
    <w:p>
      <w:pPr>
        <w:keepNext w:val="0"/>
        <w:keepLines w:val="0"/>
        <w:pageBreakBefore w:val="0"/>
        <w:widowControl w:val="0"/>
        <w:kinsoku/>
        <w:wordWrap/>
        <w:overflowPunct/>
        <w:autoSpaceDE/>
        <w:autoSpaceDN/>
        <w:bidi w:val="0"/>
        <w:adjustRightInd w:val="0"/>
        <w:snapToGrid w:val="0"/>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autoSpaceDE/>
        <w:autoSpaceDN/>
        <w:bidi w:val="0"/>
        <w:adjustRightInd w:val="0"/>
        <w:snapToGrid w:val="0"/>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2024年度单位整体支出绩效自评表</w:t>
      </w:r>
    </w:p>
    <w:p>
      <w:pPr>
        <w:pStyle w:val="2"/>
        <w:keepNext w:val="0"/>
        <w:keepLines w:val="0"/>
        <w:pageBreakBefore w:val="0"/>
        <w:widowControl w:val="0"/>
        <w:kinsoku/>
        <w:wordWrap/>
        <w:overflowPunct/>
        <w:autoSpaceDE/>
        <w:autoSpaceDN/>
        <w:bidi w:val="0"/>
        <w:adjustRightInd w:val="0"/>
        <w:snapToGrid w:val="0"/>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71"/>
        <w:gridCol w:w="973"/>
        <w:gridCol w:w="931"/>
        <w:gridCol w:w="1142"/>
        <w:gridCol w:w="1179"/>
        <w:gridCol w:w="1141"/>
        <w:gridCol w:w="648"/>
        <w:gridCol w:w="787"/>
        <w:gridCol w:w="129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875"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省级预算单位名称</w:t>
            </w:r>
          </w:p>
        </w:tc>
        <w:tc>
          <w:tcPr>
            <w:tcW w:w="6196"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算申请</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904"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904"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1647.53</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1654.53</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1486.78</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b/>
                <w:bCs/>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val="en-US" w:eastAsia="zh-CN"/>
              </w:rPr>
              <w:t>89.86</w:t>
            </w:r>
            <w:r>
              <w:rPr>
                <w:rFonts w:hint="eastAsia" w:ascii="Times New Roman" w:hAnsi="Times New Roman" w:eastAsia="方正仿宋_GBK" w:cs="方正仿宋_GBK"/>
                <w:sz w:val="21"/>
                <w:szCs w:val="21"/>
              </w:rPr>
              <w:t>%</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eastAsia="zh-CN"/>
              </w:rPr>
            </w:pPr>
            <w:r>
              <w:rPr>
                <w:rFonts w:hint="eastAsia" w:ascii="Times New Roman" w:hAnsi="Times New Roman" w:eastAsia="方正仿宋_GBK" w:cs="方正仿宋_GBK"/>
                <w:sz w:val="21"/>
                <w:szCs w:val="21"/>
                <w:lang w:val="en-US" w:eastAsia="zh-CN"/>
              </w:rPr>
              <w:t>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按收入性质分：</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按支出性质分：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其中：一般公共预算：1654.53</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其中：基本支出：438.98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政府性基金拨款：0</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项目支出：1047.80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纳入专户管理的非税收入拨款：0</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其他资金：0</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2024年完成信息化基础设施运维，保障网络、安全、存储等系统和机房专用设施可持续、安全、稳定运行。开展信息化会议和培训合格率达100%。</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2024年完成信息化基础设施运维，保障网络、安全、存储等系统和机房专用设施可持续、安全、稳定运行。开展信息化会议和培训合格率达100%。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7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93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二级指标</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年度指标值</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实际完成值</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得分</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8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93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数量指标</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采购软、硬件升级维保及服务项目</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≥3项</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3项</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00"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采购网络租赁类项目</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≥1个</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1个</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23"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公务用车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购置</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≥1台</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1台</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02"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全省信息化业务培训</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≥1项</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1项</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pacing w:val="-11"/>
                <w:sz w:val="21"/>
                <w:szCs w:val="21"/>
              </w:rPr>
              <w:t>项目管理咨询服务类委托</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≥2次</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2次</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7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93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质量指标</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培训完成率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420" w:firstLineChars="20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420" w:firstLineChars="20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网络系统故障处理响应及时性</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≤2小时</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≤2小时</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委托项目验收合格率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420" w:firstLineChars="20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420" w:firstLineChars="20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信息系统故障处理响应及时性</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≤30分钟</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≤30分钟</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第三方运行维护工作完成率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时效指标</w:t>
            </w: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pacing w:val="-11"/>
                <w:sz w:val="21"/>
                <w:szCs w:val="21"/>
              </w:rPr>
            </w:pPr>
            <w:r>
              <w:rPr>
                <w:rFonts w:hint="eastAsia" w:ascii="Times New Roman" w:hAnsi="Times New Roman" w:eastAsia="方正仿宋_GBK" w:cs="方正仿宋_GBK"/>
                <w:spacing w:val="-11"/>
                <w:sz w:val="21"/>
                <w:szCs w:val="21"/>
              </w:rPr>
              <w:t>全省信息化</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pacing w:val="-11"/>
                <w:sz w:val="21"/>
                <w:szCs w:val="21"/>
              </w:rPr>
              <w:t>培训完成时间</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委托项目完成时间</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pacing w:val="-11"/>
                <w:sz w:val="21"/>
                <w:szCs w:val="21"/>
              </w:rPr>
              <w:t>信息系统第三方运行维护工作完成时间</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成本指标</w:t>
            </w: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pacing w:val="-11"/>
                <w:sz w:val="21"/>
                <w:szCs w:val="21"/>
              </w:rPr>
              <w:t>业务培训成本</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≤14万元</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11.26万元</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公务用车购置成本</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≤25万元</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24.98万元</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信息网络系统维护及建设工作成本</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≤1100万元</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995.32万元</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93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社会效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pacing w:val="-11"/>
                <w:sz w:val="21"/>
                <w:szCs w:val="21"/>
              </w:rPr>
            </w:pPr>
            <w:r>
              <w:rPr>
                <w:rFonts w:hint="eastAsia" w:ascii="Times New Roman" w:hAnsi="Times New Roman" w:eastAsia="方正仿宋_GBK" w:cs="方正仿宋_GBK"/>
                <w:spacing w:val="-11"/>
                <w:sz w:val="21"/>
                <w:szCs w:val="21"/>
              </w:rPr>
              <w:t>重大信息安全事故发生率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left="0" w:leftChars="0" w:right="0" w:rightChars="0" w:firstLine="0" w:firstLineChars="0"/>
              <w:jc w:val="center"/>
              <w:textAlignment w:val="auto"/>
              <w:rPr>
                <w:rFonts w:hint="eastAsia" w:ascii="Times New Roman" w:hAnsi="Times New Roman" w:eastAsia="方正仿宋_GBK" w:cs="方正仿宋_GBK"/>
                <w:spacing w:val="-11"/>
                <w:sz w:val="21"/>
                <w:szCs w:val="21"/>
              </w:rPr>
            </w:pPr>
            <w:r>
              <w:rPr>
                <w:rFonts w:hint="eastAsia" w:ascii="Times New Roman" w:hAnsi="Times New Roman" w:eastAsia="方正仿宋_GBK" w:cs="方正仿宋_GBK"/>
                <w:spacing w:val="-11"/>
                <w:sz w:val="21"/>
                <w:szCs w:val="21"/>
              </w:rPr>
              <w:t>保障网络、安全、存储等系统和机房专用设施可持续正常运行</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保障信息化业务可持续性运行</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满意度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93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服务对象满意度指标</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信息系统使用人员满意度</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6337"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97</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单位负责人签字：</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黑体" w:cs="Times New Roman"/>
          <w:sz w:val="32"/>
          <w:szCs w:val="32"/>
        </w:rPr>
      </w:pPr>
      <w:r>
        <w:rPr>
          <w:rFonts w:ascii="Times New Roman" w:hAnsi="Times New Roman" w:eastAsia="仿宋_GB2312" w:cs="Times New Roman"/>
          <w:sz w:val="22"/>
          <w:szCs w:val="22"/>
        </w:rPr>
        <w:br w:type="page"/>
      </w:r>
      <w:r>
        <w:rPr>
          <w:rFonts w:hint="eastAsia" w:ascii="Times New Roman" w:hAnsi="Times New Roman" w:eastAsia="方正黑体_GBK" w:cs="方正黑体_GBK"/>
          <w:b w:val="0"/>
          <w:bCs w:val="0"/>
          <w:sz w:val="32"/>
          <w:szCs w:val="32"/>
        </w:rPr>
        <w:t>附件3</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2024年度项目支出绩效自评表（业务工作经费）</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93"/>
        <w:gridCol w:w="994"/>
        <w:gridCol w:w="611"/>
        <w:gridCol w:w="1350"/>
        <w:gridCol w:w="1212"/>
        <w:gridCol w:w="1278"/>
        <w:gridCol w:w="522"/>
        <w:gridCol w:w="723"/>
        <w:gridCol w:w="13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598"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项目支出名称</w:t>
            </w:r>
          </w:p>
        </w:tc>
        <w:tc>
          <w:tcPr>
            <w:tcW w:w="6473"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业务工作经费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主管部门</w:t>
            </w:r>
          </w:p>
        </w:tc>
        <w:tc>
          <w:tcPr>
            <w:tcW w:w="4167"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湖南省市场监督管理局</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实施单位</w:t>
            </w:r>
          </w:p>
        </w:tc>
        <w:tc>
          <w:tcPr>
            <w:tcW w:w="2633"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项目资金</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52.49</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87.48%</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其中：当年财政拨款</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52.49</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上年结转资金</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167"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911"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167"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围绕信息化建设和运行维护核心业务，开展与信息化业务相关的持续性工作。</w:t>
            </w:r>
          </w:p>
        </w:tc>
        <w:tc>
          <w:tcPr>
            <w:tcW w:w="3911"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围绕信息化建设和运行维护核心业务，开展与信息化业务相关的持续性工作。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61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指标值</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完成值</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61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全省信息化培训</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≥1项</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1项</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公务用车购置</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≥1台</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1台</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项目管理咨询服务类委托</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≥2次</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2次</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培训完成率</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委托项目验收合格率</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委托项目完成时间</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2024年12月31日前完成</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2024年12月31日前完成</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全省信息化培训完成时间</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2024年12月31日前完成</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2024年12月31日前完成</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61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成本指标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业务培训成本</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≤14万元</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11.26万元</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公务用车购置成本</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≤25万元</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24.98万元</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61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保障信息化业务可持续性运行</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438"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88.75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both"/>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原因：本年公务用车运行维护费预算是按原来纯油公务用车预计，而本年将原纯油公务用车处置后购置了新油电混动公务用车，相关运行维护费减少，因此本年公务用车运行维护费有结余。</w:t>
            </w:r>
          </w:p>
          <w:p>
            <w:pPr>
              <w:keepNext w:val="0"/>
              <w:keepLines w:val="0"/>
              <w:pageBreakBefore w:val="0"/>
              <w:wordWrap/>
              <w:overflowPunct/>
              <w:autoSpaceDE/>
              <w:autoSpaceDN/>
              <w:bidi w:val="0"/>
              <w:adjustRightInd w:val="0"/>
              <w:snapToGrid w:val="0"/>
              <w:spacing w:line="240" w:lineRule="auto"/>
              <w:ind w:firstLine="0" w:firstLineChars="0"/>
              <w:jc w:val="both"/>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改进：加强预算编制。</w:t>
            </w: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sectPr>
          <w:footerReference r:id="rId8"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楷体_GBK" w:cs="方正楷体_GBK"/>
          <w:sz w:val="24"/>
          <w:szCs w:val="24"/>
        </w:rPr>
        <w:t>单位负责人签字：</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附件4</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2024年度项目支出绩效自评表</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（省级市场监管专项）</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93"/>
        <w:gridCol w:w="994"/>
        <w:gridCol w:w="806"/>
        <w:gridCol w:w="1312"/>
        <w:gridCol w:w="1054"/>
        <w:gridCol w:w="1179"/>
        <w:gridCol w:w="621"/>
        <w:gridCol w:w="754"/>
        <w:gridCol w:w="13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793"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项目支出名称</w:t>
            </w:r>
          </w:p>
        </w:tc>
        <w:tc>
          <w:tcPr>
            <w:tcW w:w="6278"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信息网络系统维护及建设经费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主管部门</w:t>
            </w: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湖南省市场监督管理局</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实施单位</w:t>
            </w:r>
          </w:p>
        </w:tc>
        <w:tc>
          <w:tcPr>
            <w:tcW w:w="2733"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项目资金</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90.48%</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eastAsia="zh-CN"/>
              </w:rPr>
            </w:pPr>
            <w:r>
              <w:rPr>
                <w:rFonts w:hint="eastAsia" w:ascii="Times New Roman" w:hAnsi="Times New Roman" w:eastAsia="方正仿宋_GBK" w:cs="方正仿宋_GBK"/>
                <w:sz w:val="21"/>
                <w:szCs w:val="21"/>
                <w:lang w:val="en-US" w:eastAsia="zh-CN"/>
              </w:rPr>
              <w:t>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其中：当年财政拨款</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90.48%</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上年结转资金</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912"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信息化基础设施运维，保障网络、安全、存储等系统和机房专业设施可持续、安全、稳定运行。</w:t>
            </w:r>
          </w:p>
        </w:tc>
        <w:tc>
          <w:tcPr>
            <w:tcW w:w="3912"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信息化基础设施运维，保障网络、安全、存储等系统和机房专业设施可持续、安全、稳定运行。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95"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指标值</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完成值</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0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采购网络租赁类项目个数</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≥1个</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1个</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采购软、硬件升级维保及服务项目</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≥3项</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3项</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信息系统故障处理响应及时向</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≤30分钟</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≤30分钟</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第三方运行维护工作完成率</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网络系统故障处理响应及时性</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≤2小时</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≤2小时</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信息系统第三方运行维护工作完成时间</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社会效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重大信息安全事故发生率</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保障网络、安全、存储等系统和机房专用设施可持续、安全、稳定运行</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满意度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服务对象满意度指标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信息系统使用人员满意度</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338"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99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sectPr>
          <w:footerReference r:id="rId9"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楷体_GBK" w:cs="方正楷体_GBK"/>
          <w:sz w:val="24"/>
          <w:szCs w:val="24"/>
        </w:rPr>
        <w:t>单位负责人签名：</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附件5</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2024年度项目支出绩效自评表（运行维护专项）</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93"/>
        <w:gridCol w:w="994"/>
        <w:gridCol w:w="881"/>
        <w:gridCol w:w="1146"/>
        <w:gridCol w:w="1145"/>
        <w:gridCol w:w="1179"/>
        <w:gridCol w:w="621"/>
        <w:gridCol w:w="740"/>
        <w:gridCol w:w="13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868"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项目支出名称</w:t>
            </w:r>
          </w:p>
        </w:tc>
        <w:tc>
          <w:tcPr>
            <w:tcW w:w="6203"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无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主管部门</w:t>
            </w: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湖南省市场监督管理局</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实施单位</w:t>
            </w:r>
          </w:p>
        </w:tc>
        <w:tc>
          <w:tcPr>
            <w:tcW w:w="2733"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项目资金</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其中：当年财政拨款</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上年结转资金</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912"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1.信息化基础设施运维，保障网络、安全、存储等系统和机房专业设施可持续、安全、稳定运行；</w:t>
            </w:r>
          </w:p>
        </w:tc>
        <w:tc>
          <w:tcPr>
            <w:tcW w:w="3912"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1.信息化基础设施运维，保障网络、安全、存储等系统和机房专业设施可持续、安全、稳定运行；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88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指标值</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完成值</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得分</w:t>
            </w: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成本</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经济效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社会效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生态效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满意度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服务对象满意度指标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338"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sectPr>
          <w:footerReference r:id="rId10"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楷体_GBK" w:cs="方正楷体_GBK"/>
          <w:sz w:val="24"/>
          <w:szCs w:val="24"/>
        </w:rPr>
        <w:t>单位负责人签名：</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附件6</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2024年度项目支出绩效自评表</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（其他事业发展类）</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008"/>
        <w:gridCol w:w="992"/>
        <w:gridCol w:w="879"/>
        <w:gridCol w:w="1144"/>
        <w:gridCol w:w="1144"/>
        <w:gridCol w:w="1178"/>
        <w:gridCol w:w="619"/>
        <w:gridCol w:w="802"/>
        <w:gridCol w:w="1305"/>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879" w:type="dxa"/>
            <w:gridSpan w:val="3"/>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项目支出名称</w:t>
            </w:r>
          </w:p>
        </w:tc>
        <w:tc>
          <w:tcPr>
            <w:tcW w:w="6192" w:type="dxa"/>
            <w:gridSpan w:val="6"/>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无</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主管部门</w:t>
            </w:r>
          </w:p>
        </w:tc>
        <w:tc>
          <w:tcPr>
            <w:tcW w:w="4159"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湖南省市场监督管理局</w:t>
            </w: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实施单位</w:t>
            </w:r>
          </w:p>
        </w:tc>
        <w:tc>
          <w:tcPr>
            <w:tcW w:w="2726" w:type="dxa"/>
            <w:gridSpan w:val="3"/>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restart"/>
            <w:tcBorders>
              <w:tl2br w:val="nil"/>
              <w:tr2bl w:val="nil"/>
            </w:tcBorders>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项目资金</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871" w:type="dxa"/>
            <w:gridSpan w:val="2"/>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top w:w="0" w:type="dxa"/>
              <w:left w:w="0" w:type="dxa"/>
              <w:bottom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1" w:type="dxa"/>
            <w:gridSpan w:val="2"/>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1" w:type="dxa"/>
            <w:gridSpan w:val="2"/>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其中：当年财政拨款</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1" w:type="dxa"/>
            <w:gridSpan w:val="2"/>
            <w:tcBorders>
              <w:tl2br w:val="nil"/>
              <w:tr2bl w:val="nil"/>
            </w:tcBorders>
            <w:noWrap w:val="0"/>
            <w:tcMar>
              <w:top w:w="0" w:type="dxa"/>
              <w:left w:w="0" w:type="dxa"/>
              <w:bottom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上年结转资金</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1" w:type="dxa"/>
            <w:gridSpan w:val="2"/>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159"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904"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05"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159"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3904"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87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指标值</w:t>
            </w: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完成值</w:t>
            </w: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得分</w:t>
            </w: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2"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成本指标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经济效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社会效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生态效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满意度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服务对象满意度指标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5" w:type="dxa"/>
            <w:gridSpan w:val="6"/>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bl>
    <w:p>
      <w:pPr>
        <w:topLinePunct/>
        <w:spacing w:line="400" w:lineRule="exact"/>
        <w:ind w:firstLine="0" w:firstLineChars="0"/>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topLinePunct/>
        <w:spacing w:line="400" w:lineRule="exact"/>
        <w:ind w:firstLine="0" w:firstLineChars="0"/>
        <w:rPr>
          <w:rFonts w:hint="eastAsia" w:ascii="Times New Roman" w:hAnsi="Times New Roman" w:eastAsia="方正楷体_GBK" w:cs="方正楷体_GBK"/>
          <w:sz w:val="24"/>
          <w:szCs w:val="24"/>
        </w:rPr>
      </w:pPr>
    </w:p>
    <w:p>
      <w:pPr>
        <w:topLinePunct/>
        <w:spacing w:line="400" w:lineRule="exact"/>
        <w:ind w:firstLine="0" w:firstLineChars="0"/>
        <w:rPr>
          <w:rFonts w:hint="eastAsia"/>
          <w:sz w:val="21"/>
          <w:szCs w:val="21"/>
        </w:rPr>
        <w:sectPr>
          <w:footerReference r:id="rId11"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楷体_GBK" w:cs="方正楷体_GBK"/>
          <w:sz w:val="24"/>
          <w:szCs w:val="24"/>
        </w:rPr>
        <w:t>单位负责人签名</w:t>
      </w:r>
      <w:r>
        <w:rPr>
          <w:rFonts w:hint="eastAsia" w:ascii="Times New Roman" w:hAnsi="Times New Roman" w:eastAsia="仿宋_GB2312" w:cs="Times New Roman"/>
          <w:sz w:val="21"/>
          <w:szCs w:val="21"/>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附件7</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单位整体支出绩效自评工作考核评分表</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1097"/>
        <w:gridCol w:w="4234"/>
        <w:gridCol w:w="261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12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b/>
                <w:sz w:val="21"/>
                <w:szCs w:val="21"/>
              </w:rPr>
            </w:pPr>
            <w:r>
              <w:rPr>
                <w:rFonts w:hint="eastAsia" w:ascii="Times New Roman" w:hAnsi="Times New Roman" w:eastAsia="方正仿宋_GBK" w:cs="方正仿宋_GBK"/>
                <w:b/>
                <w:sz w:val="21"/>
                <w:szCs w:val="21"/>
              </w:rPr>
              <w:t>一级指标</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b/>
                <w:sz w:val="21"/>
                <w:szCs w:val="21"/>
              </w:rPr>
            </w:pPr>
            <w:r>
              <w:rPr>
                <w:rFonts w:hint="eastAsia" w:ascii="Times New Roman" w:hAnsi="Times New Roman" w:eastAsia="方正仿宋_GBK" w:cs="方正仿宋_GBK"/>
                <w:b/>
                <w:sz w:val="21"/>
                <w:szCs w:val="21"/>
              </w:rPr>
              <w:t>二级指标</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b/>
                <w:sz w:val="21"/>
                <w:szCs w:val="21"/>
              </w:rPr>
            </w:pPr>
            <w:r>
              <w:rPr>
                <w:rFonts w:hint="eastAsia" w:ascii="Times New Roman" w:hAnsi="Times New Roman" w:eastAsia="方正仿宋_GBK" w:cs="方正仿宋_GBK"/>
                <w:b/>
                <w:sz w:val="21"/>
                <w:szCs w:val="21"/>
              </w:rPr>
              <w:t>评分标准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b/>
                <w:sz w:val="21"/>
                <w:szCs w:val="21"/>
              </w:rPr>
            </w:pPr>
            <w:r>
              <w:rPr>
                <w:rFonts w:hint="eastAsia" w:ascii="Times New Roman" w:hAnsi="Times New Roman" w:eastAsia="方正仿宋_GBK" w:cs="方正仿宋_GBK"/>
                <w:b/>
                <w:sz w:val="21"/>
                <w:szCs w:val="21"/>
              </w:rPr>
              <w:t>所需佐证材料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布置工作</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自评通知</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组织本单位内设部门开展绩效自评，有相关文件的得3分，否则不得分。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绩效自评通知盖章的电子版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工作小组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成立绩效自评工作小组的得2分，否则不得分。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本单位预算绩效管理领导小组/绩效评价工作小组有关文件盖章的电子版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绩效管理基础工作</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（10分）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绩效目标</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管理</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（5分）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每个单位均要按要求开展绩效自查，对照年初绩效目标批复表，完成绩效评价，计1分；</w:t>
            </w:r>
            <w:r>
              <w:rPr>
                <w:rFonts w:hint="eastAsia" w:ascii="Times New Roman" w:hAnsi="Times New Roman" w:eastAsia="方正仿宋_GBK" w:cs="方正仿宋_GBK"/>
                <w:sz w:val="21"/>
                <w:szCs w:val="21"/>
                <w:lang w:bidi="ar"/>
              </w:rPr>
              <w:t>有专项资金的直属机构应积极对接归口管理处室获取绩效目标分解表的，计2分；积极主动对接归口管理处室，并汇总绩效目标表的，计2分。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绩效目标汇总表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项目管理</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（5分）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制定发文的项目管理制度，制度应包含项目的绩效目标设置、资金分配、分配因素、项目绩效管理、项目验收、资料归档等方面的内容，全部包含计5分，每发现缺少一项扣1分，扣完为止。</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项目管理制度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绩效运行监控情况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（5分）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监控执行性（2分）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是否在规定时间内提交预算执行进度和绩效目标完成情况“双监控”表格的，每推迟1个工作日扣1分，扣完为止。</w:t>
            </w:r>
          </w:p>
        </w:tc>
        <w:tc>
          <w:tcPr>
            <w:tcW w:w="261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2024年度绩效运行监控报告、绩效运行监控表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bidi="ar"/>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监控有效性（3分）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①是否存在未经批复随意改动绩效指标的情况，如有扣1分；</w:t>
            </w:r>
          </w:p>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②绩效目标有偏差，未对偏差原因进行分析，提出整改措施的，每发现一项扣1分，扣完为止。</w:t>
            </w:r>
          </w:p>
        </w:tc>
        <w:tc>
          <w:tcPr>
            <w:tcW w:w="261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资金绩效情况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10分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预算执行</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情况</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（5分）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预算执行率超过90%，计5分；预算执行率在80%～90%之间，扣3分；预算执行率低于80%，扣5分。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按2024年度单位整体支出绩效自评表中预算执行数及实际执行情况计分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bidi="ar"/>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资金使用</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情况</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（5分）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①是否违反财经法规和单位财务管理制度、专项资金管理办法、绩效管理办法、政府采购法、预算批复等规定，每发现一处扣1分；②是否存在截留、挤占、挪用、虚列支出等情况，每发现一处扣1分；③专项资金是否专项核算，每发现一处扣1分；扣完为止。</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按资料检查和现场检查情况计分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自评报告</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70分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及时性</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（10分）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rPr>
              <w:t>按时向省局报送报告的得10分；每推迟一个工作日报送报告的扣3分，最多扣10分。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完整性</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1、绩效自评报告正文部分内容齐全的，得5分；否则每少一个部分扣1分，最多扣5分。</w:t>
            </w:r>
          </w:p>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2、绩效自评报告附件部分内容齐全的，得5分；否则每少一个部分扣1分，最多扣5分。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自评表</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（15分）</w:t>
            </w:r>
          </w:p>
        </w:tc>
        <w:tc>
          <w:tcPr>
            <w:tcW w:w="6848" w:type="dxa"/>
            <w:gridSpan w:val="2"/>
            <w:noWrap w:val="0"/>
            <w:vAlign w:val="center"/>
          </w:tcPr>
          <w:p>
            <w:pPr>
              <w:keepNext w:val="0"/>
              <w:keepLines w:val="0"/>
              <w:pageBreakBefore w:val="0"/>
              <w:wordWrap/>
              <w:overflowPunct/>
              <w:topLine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1、单位整体支出和项目支出绩效指标反映产出、效益、服务对象满意度方面的指标和预算执行率的权重符合《湖南省省级预算部门绩效自评操作规程》第八条要求的，得5分，否则按比例扣除相应的分数。</w:t>
            </w:r>
          </w:p>
          <w:p>
            <w:pPr>
              <w:keepNext w:val="0"/>
              <w:keepLines w:val="0"/>
              <w:pageBreakBefore w:val="0"/>
              <w:wordWrap/>
              <w:overflowPunct/>
              <w:topLine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2、单位整体支出和项目支出绩效指标全部细化到三级指标的，得5分；部分细化的，酌情扣分；没有细化的，不得分。</w:t>
            </w:r>
          </w:p>
          <w:p>
            <w:pPr>
              <w:keepNext w:val="0"/>
              <w:keepLines w:val="0"/>
              <w:pageBreakBefore w:val="0"/>
              <w:wordWrap/>
              <w:overflowPunct/>
              <w:topLine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单位整体支出和项目支出三级绩效指标内涵明确、具体、可衡量的得5分；突出核心指标，精简实用的得3分；指标与部门整体支出和项目支出密切相关，全面反映产出和效益的得2分；否则，每项酌情扣分，最多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反映问</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题情况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从预算和预算绩效管理，单位履职效能，资金分配、使用和管理，资产和财务管理，政府采购等方面归纳问题、分析原因，每1条问题应对应1条原因分析，每提出1条问题、1条原因分析的得5分；只提出资金不足问题的不得分，其他情况酌情扣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建议情况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建议与问题应一一对应，每提出1条建议得5分，只提出加大资金投入建议的不得分；其他情况酌情扣分。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合计</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p>
        </w:tc>
      </w:tr>
    </w:tbl>
    <w:p>
      <w:pPr>
        <w:pStyle w:val="15"/>
        <w:jc w:val="center"/>
        <w:rPr>
          <w:rFonts w:ascii="Times New Roman" w:hAnsi="Times New Roman" w:cs="Times New Roman"/>
          <w:sz w:val="72"/>
          <w:szCs w:val="72"/>
        </w:rPr>
      </w:pPr>
    </w:p>
    <w:p>
      <w:pPr>
        <w:pStyle w:val="15"/>
        <w:jc w:val="center"/>
        <w:rPr>
          <w:rFonts w:ascii="Times New Roman" w:hAnsi="Times New Roman" w:cs="Times New Roman"/>
          <w:sz w:val="72"/>
          <w:szCs w:val="72"/>
        </w:rPr>
      </w:pPr>
    </w:p>
    <w:p>
      <w:pPr>
        <w:jc w:val="left"/>
        <w:rPr>
          <w:rFonts w:ascii="Times New Roman" w:hAnsi="Times New Roman" w:cs="Times New Roman"/>
          <w:color w:val="000000"/>
          <w:kern w:val="0"/>
          <w:sz w:val="32"/>
          <w:szCs w:val="32"/>
        </w:rPr>
      </w:pPr>
    </w:p>
    <w:sectPr>
      <w:pgSz w:w="11906" w:h="16838"/>
      <w:pgMar w:top="1984" w:right="1474" w:bottom="1474" w:left="1474" w:header="850" w:footer="1134" w:gutter="0"/>
      <w:pgBorders>
        <w:top w:val="none" w:sz="0" w:space="0"/>
        <w:left w:val="none" w:sz="0" w:space="0"/>
        <w:bottom w:val="none" w:sz="0" w:space="0"/>
        <w:right w:val="none" w:sz="0" w:space="0"/>
      </w:pgBorders>
      <w:pgNumType w:fmt="decimal"/>
      <w:cols w:space="425"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altName w:val="方正楷体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 xml:space="preserve">— </w:t>
                          </w:r>
                          <w:r>
                            <w:rPr>
                              <w:rFonts w:hint="eastAsia" w:ascii="Times New Roman" w:hAnsi="Times New Roman" w:eastAsia="方正仿宋_GBK" w:cs="方正仿宋_GBK"/>
                              <w:sz w:val="28"/>
                              <w:szCs w:val="28"/>
                            </w:rPr>
                            <w:fldChar w:fldCharType="begin"/>
                          </w:r>
                          <w:r>
                            <w:rPr>
                              <w:rFonts w:hint="eastAsia" w:ascii="Times New Roman" w:hAnsi="Times New Roman" w:eastAsia="方正仿宋_GBK" w:cs="方正仿宋_GBK"/>
                              <w:sz w:val="28"/>
                              <w:szCs w:val="28"/>
                            </w:rPr>
                            <w:instrText xml:space="preserve"> PAGE  \* MERGEFORMAT </w:instrText>
                          </w:r>
                          <w:r>
                            <w:rPr>
                              <w:rFonts w:hint="eastAsia" w:ascii="Times New Roman" w:hAnsi="Times New Roman" w:eastAsia="方正仿宋_GBK" w:cs="方正仿宋_GBK"/>
                              <w:sz w:val="28"/>
                              <w:szCs w:val="28"/>
                            </w:rPr>
                            <w:fldChar w:fldCharType="separate"/>
                          </w:r>
                          <w:r>
                            <w:rPr>
                              <w:rFonts w:hint="eastAsia" w:ascii="Times New Roman" w:hAnsi="Times New Roman" w:eastAsia="方正仿宋_GBK" w:cs="方正仿宋_GBK"/>
                              <w:sz w:val="28"/>
                              <w:szCs w:val="28"/>
                            </w:rPr>
                            <w:t>1</w:t>
                          </w:r>
                          <w:r>
                            <w:rPr>
                              <w:rFonts w:hint="eastAsia" w:ascii="Times New Roman" w:hAnsi="Times New Roman" w:eastAsia="方正仿宋_GBK" w:cs="方正仿宋_GBK"/>
                              <w:sz w:val="28"/>
                              <w:szCs w:val="28"/>
                            </w:rPr>
                            <w:fldChar w:fldCharType="end"/>
                          </w:r>
                          <w:r>
                            <w:rPr>
                              <w:rFonts w:hint="eastAsia" w:ascii="Times New Roman" w:hAnsi="Times New Roman" w:eastAsia="方正仿宋_GBK" w:cs="方正仿宋_GBK"/>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AnWxrOFQIAABkEAAAOAAAAAAAAAAEAIAAAADUBAABkcnMvZTJvRG9jLnhtbFBLBQYAAAAABgAG&#10;AFkBAAC8BQAAAAA=&#10;">
              <v:fill on="f" focussize="0,0"/>
              <v:stroke on="f" weight="0.5pt"/>
              <v:imagedata o:title=""/>
              <o:lock v:ext="edit" aspectratio="f"/>
              <v:textbox inset="0mm,0mm,0mm,0mm" style="mso-fit-shape-to-text:t;">
                <w:txbxContent>
                  <w:p>
                    <w:pPr>
                      <w:pStyle w:val="8"/>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 xml:space="preserve">— </w:t>
                    </w:r>
                    <w:r>
                      <w:rPr>
                        <w:rFonts w:hint="eastAsia" w:ascii="Times New Roman" w:hAnsi="Times New Roman" w:eastAsia="方正仿宋_GBK" w:cs="方正仿宋_GBK"/>
                        <w:sz w:val="28"/>
                        <w:szCs w:val="28"/>
                      </w:rPr>
                      <w:fldChar w:fldCharType="begin"/>
                    </w:r>
                    <w:r>
                      <w:rPr>
                        <w:rFonts w:hint="eastAsia" w:ascii="Times New Roman" w:hAnsi="Times New Roman" w:eastAsia="方正仿宋_GBK" w:cs="方正仿宋_GBK"/>
                        <w:sz w:val="28"/>
                        <w:szCs w:val="28"/>
                      </w:rPr>
                      <w:instrText xml:space="preserve"> PAGE  \* MERGEFORMAT </w:instrText>
                    </w:r>
                    <w:r>
                      <w:rPr>
                        <w:rFonts w:hint="eastAsia" w:ascii="Times New Roman" w:hAnsi="Times New Roman" w:eastAsia="方正仿宋_GBK" w:cs="方正仿宋_GBK"/>
                        <w:sz w:val="28"/>
                        <w:szCs w:val="28"/>
                      </w:rPr>
                      <w:fldChar w:fldCharType="separate"/>
                    </w:r>
                    <w:r>
                      <w:rPr>
                        <w:rFonts w:hint="eastAsia" w:ascii="Times New Roman" w:hAnsi="Times New Roman" w:eastAsia="方正仿宋_GBK" w:cs="方正仿宋_GBK"/>
                        <w:sz w:val="28"/>
                        <w:szCs w:val="28"/>
                      </w:rPr>
                      <w:t>1</w:t>
                    </w:r>
                    <w:r>
                      <w:rPr>
                        <w:rFonts w:hint="eastAsia" w:ascii="Times New Roman" w:hAnsi="Times New Roman" w:eastAsia="方正仿宋_GBK" w:cs="方正仿宋_GBK"/>
                        <w:sz w:val="28"/>
                        <w:szCs w:val="28"/>
                      </w:rPr>
                      <w:fldChar w:fldCharType="end"/>
                    </w:r>
                    <w:r>
                      <w:rPr>
                        <w:rFonts w:hint="eastAsia" w:ascii="Times New Roman" w:hAnsi="Times New Roman" w:eastAsia="方正仿宋_GBK" w:cs="方正仿宋_GBK"/>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autoSpaceDN/>
      <w:bidi w:val="0"/>
      <w:adjustRightInd w:val="0"/>
      <w:snapToGrid w:val="0"/>
      <w:spacing w:line="240" w:lineRule="auto"/>
      <w:ind w:firstLine="360" w:firstLineChars="200"/>
      <w:jc w:val="left"/>
      <w:textAlignment w:val="auto"/>
      <w:rPr>
        <w:rFonts w:ascii="Times New Roman" w:hAnsi="Times New Roman" w:eastAsia="仿宋_GB2312" w:cs="Times New Roman"/>
        <w:kern w:val="2"/>
        <w:sz w:val="18"/>
        <w:szCs w:val="32"/>
        <w:lang w:val="en-US" w:eastAsia="zh-CN" w:bidi="ar-SA"/>
      </w:rPr>
    </w:pPr>
    <w:r>
      <w:rPr>
        <w:rFonts w:ascii="Times New Roman" w:hAnsi="Times New Roman" w:eastAsia="仿宋_GB2312" w:cs="Times New Roman"/>
        <w:kern w:val="2"/>
        <w:sz w:val="18"/>
        <w:szCs w:val="32"/>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20</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EGdgaC1AQAAVAMAAA4AAAAAAAAAAQAgAAAANAEAAGRycy9lMm9E&#10;b2MueG1sUEsFBgAAAAAGAAYAWQEAAFsFA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20</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仿宋_GB2312" w:cs="Times New Roman"/>
        <w:kern w:val="2"/>
        <w:sz w:val="18"/>
        <w:szCs w:val="27"/>
        <w:lang w:val="en-US" w:eastAsia="zh-CN" w:bidi="ar-SA"/>
      </w:rPr>
    </w:pPr>
    <w:r>
      <w:rPr>
        <w:rFonts w:ascii="Times New Roman" w:hAnsi="Times New Roman" w:eastAsia="仿宋_GB2312" w:cs="Times New Roman"/>
        <w:kern w:val="2"/>
        <w:sz w:val="18"/>
        <w:szCs w:val="27"/>
        <w:lang w:val="en-US"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46</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OvEuOW1AQAAVAMAAA4AAAAAAAAAAQAgAAAANAEAAGRycy9lMm9E&#10;b2MueG1sUEsFBgAAAAAGAAYAWQEAAFsFA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46</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ind w:right="38" w:firstLine="640" w:firstLineChars="200"/>
      <w:jc w:val="right"/>
      <w:rPr>
        <w:rFonts w:ascii="宋体" w:hAnsi="宋体" w:eastAsia="宋体" w:cs="宋体"/>
        <w:sz w:val="27"/>
        <w:szCs w:val="27"/>
      </w:rPr>
    </w:pPr>
    <w:r>
      <w:rPr>
        <w:rFonts w:ascii="Times New Roman" w:hAnsi="Times New Roman" w:eastAsia="仿宋_GB2312" w:cs="Times New Roman"/>
        <w:sz w:val="32"/>
        <w:szCs w:val="27"/>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51</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Uu8yq1AQAAVAMAAA4AAABkcnMv&#10;ZTJvRG9jLnhtbK1TzWobMRC+F/IOQvdYa0O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u6DEcYsz2v942f/8vf/1TNCHDepD&#10;rDHvKWBmGq790NAEGzmGIvqz9EGBzV8URTAFu707dVgOiQh0Tuez+bzCkMDYeMES7PX3ADHdSW9J&#10;NhoKOMLSWb79EtMhdUzJ1Zy/1caUMRr3jwMxs4dl+geO2UrDajhqWvl2h5J6nH5DHa4nJebeYXPz&#10;oowGjMZqNDYB9LpDaoqbmMfDEf5qk5BI4ZerHKCPxXF0ReFxzfJu/H0vWa+PYfk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BUu8yq1AQAAVAMAAA4AAAAAAAAAAQAgAAAANAEAAGRycy9lMm9E&#10;b2MueG1sUEsFBgAAAAAGAAYAWQEAAFsFA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51</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ind w:right="38" w:firstLine="640" w:firstLineChars="200"/>
      <w:jc w:val="right"/>
      <w:rPr>
        <w:rFonts w:ascii="宋体" w:hAnsi="宋体" w:eastAsia="宋体" w:cs="宋体"/>
        <w:sz w:val="27"/>
        <w:szCs w:val="27"/>
      </w:rPr>
    </w:pPr>
    <w:r>
      <w:rPr>
        <w:rFonts w:ascii="Times New Roman" w:hAnsi="Times New Roman" w:eastAsia="仿宋_GB2312" w:cs="Times New Roman"/>
        <w:sz w:val="32"/>
        <w:szCs w:val="27"/>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hint="eastAsia" w:ascii="方正仿宋_GBK" w:hAnsi="方正仿宋_GBK" w:eastAsia="方正仿宋_GBK" w:cs="方正仿宋_GBK"/>
                              <w:kern w:val="2"/>
                              <w:sz w:val="28"/>
                              <w:szCs w:val="28"/>
                              <w:lang w:val="en-US" w:eastAsia="zh-CN" w:bidi="ar-SA"/>
                            </w:rPr>
                            <w:fldChar w:fldCharType="begin"/>
                          </w:r>
                          <w:r>
                            <w:rPr>
                              <w:rFonts w:hint="eastAsia" w:ascii="方正仿宋_GBK" w:hAnsi="方正仿宋_GBK" w:eastAsia="方正仿宋_GBK" w:cs="方正仿宋_GBK"/>
                              <w:kern w:val="2"/>
                              <w:sz w:val="28"/>
                              <w:szCs w:val="28"/>
                              <w:lang w:val="en-US" w:eastAsia="zh-CN" w:bidi="ar-SA"/>
                            </w:rPr>
                            <w:instrText xml:space="preserve"> PAGE  \* MERGEFORMAT </w:instrText>
                          </w:r>
                          <w:r>
                            <w:rPr>
                              <w:rFonts w:hint="eastAsia" w:ascii="方正仿宋_GBK" w:hAnsi="方正仿宋_GBK" w:eastAsia="方正仿宋_GBK" w:cs="方正仿宋_GBK"/>
                              <w:kern w:val="2"/>
                              <w:sz w:val="28"/>
                              <w:szCs w:val="28"/>
                              <w:lang w:val="en-US" w:eastAsia="zh-CN" w:bidi="ar-SA"/>
                            </w:rPr>
                            <w:fldChar w:fldCharType="separate"/>
                          </w:r>
                          <w:r>
                            <w:rPr>
                              <w:rFonts w:hint="eastAsia" w:ascii="方正仿宋_GBK" w:hAnsi="方正仿宋_GBK" w:eastAsia="方正仿宋_GBK" w:cs="方正仿宋_GBK"/>
                              <w:kern w:val="2"/>
                              <w:sz w:val="28"/>
                              <w:szCs w:val="28"/>
                              <w:lang w:val="en-US" w:eastAsia="zh-CN" w:bidi="ar-SA"/>
                            </w:rPr>
                            <w:t>52</w:t>
                          </w:r>
                          <w:r>
                            <w:rPr>
                              <w:rFonts w:hint="eastAsia" w:ascii="方正仿宋_GBK" w:hAnsi="方正仿宋_GBK" w:eastAsia="方正仿宋_GBK" w:cs="方正仿宋_GBK"/>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xdAH5LQBAABUAwAADgAAAAAAAAABACAAAAA0AQAAZHJzL2Uyb0Rv&#10;Yy54bWxQSwUGAAAAAAYABgBZAQAAWgUAAAAA&#10;">
              <v:fill on="f" focussize="0,0"/>
              <v:stroke on="f"/>
              <v:imagedata o:title=""/>
              <o:lock v:ext="edit" aspectratio="f"/>
              <v:textbox inset="0mm,0mm,0mm,0mm" style="mso-fit-shape-to-text:t;">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hint="eastAsia" w:ascii="方正仿宋_GBK" w:hAnsi="方正仿宋_GBK" w:eastAsia="方正仿宋_GBK" w:cs="方正仿宋_GBK"/>
                        <w:kern w:val="2"/>
                        <w:sz w:val="28"/>
                        <w:szCs w:val="28"/>
                        <w:lang w:val="en-US" w:eastAsia="zh-CN" w:bidi="ar-SA"/>
                      </w:rPr>
                      <w:fldChar w:fldCharType="begin"/>
                    </w:r>
                    <w:r>
                      <w:rPr>
                        <w:rFonts w:hint="eastAsia" w:ascii="方正仿宋_GBK" w:hAnsi="方正仿宋_GBK" w:eastAsia="方正仿宋_GBK" w:cs="方正仿宋_GBK"/>
                        <w:kern w:val="2"/>
                        <w:sz w:val="28"/>
                        <w:szCs w:val="28"/>
                        <w:lang w:val="en-US" w:eastAsia="zh-CN" w:bidi="ar-SA"/>
                      </w:rPr>
                      <w:instrText xml:space="preserve"> PAGE  \* MERGEFORMAT </w:instrText>
                    </w:r>
                    <w:r>
                      <w:rPr>
                        <w:rFonts w:hint="eastAsia" w:ascii="方正仿宋_GBK" w:hAnsi="方正仿宋_GBK" w:eastAsia="方正仿宋_GBK" w:cs="方正仿宋_GBK"/>
                        <w:kern w:val="2"/>
                        <w:sz w:val="28"/>
                        <w:szCs w:val="28"/>
                        <w:lang w:val="en-US" w:eastAsia="zh-CN" w:bidi="ar-SA"/>
                      </w:rPr>
                      <w:fldChar w:fldCharType="separate"/>
                    </w:r>
                    <w:r>
                      <w:rPr>
                        <w:rFonts w:hint="eastAsia" w:ascii="方正仿宋_GBK" w:hAnsi="方正仿宋_GBK" w:eastAsia="方正仿宋_GBK" w:cs="方正仿宋_GBK"/>
                        <w:kern w:val="2"/>
                        <w:sz w:val="28"/>
                        <w:szCs w:val="28"/>
                        <w:lang w:val="en-US" w:eastAsia="zh-CN" w:bidi="ar-SA"/>
                      </w:rPr>
                      <w:t>52</w:t>
                    </w:r>
                    <w:r>
                      <w:rPr>
                        <w:rFonts w:hint="eastAsia" w:ascii="方正仿宋_GBK" w:hAnsi="方正仿宋_GBK" w:eastAsia="方正仿宋_GBK" w:cs="方正仿宋_GBK"/>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ind w:right="38" w:firstLine="640" w:firstLineChars="200"/>
      <w:jc w:val="right"/>
      <w:rPr>
        <w:rFonts w:ascii="宋体" w:hAnsi="宋体" w:eastAsia="宋体" w:cs="宋体"/>
        <w:sz w:val="27"/>
        <w:szCs w:val="27"/>
      </w:rPr>
    </w:pPr>
    <w:r>
      <w:rPr>
        <w:rFonts w:ascii="Times New Roman" w:hAnsi="Times New Roman" w:eastAsia="仿宋_GB2312" w:cs="Times New Roman"/>
        <w:sz w:val="32"/>
        <w:szCs w:val="27"/>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53</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G+JPqG1AQAAVAMAAA4AAAAAAAAAAQAgAAAANAEAAGRycy9lMm9E&#10;b2MueG1sUEsFBgAAAAAGAAYAWQEAAFsFA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53</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ind w:firstLine="40" w:firstLineChars="200"/>
      <w:rPr>
        <w:rFonts w:ascii="Times New Roman" w:hAnsi="Times New Roman" w:eastAsia="仿宋_GB2312" w:cs="Times New Roman"/>
        <w:sz w:val="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19"/>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mNzBmMWFjNmFkN2Q5NDA3NzRkNmM0YTNlYTJhZDkifQ=="/>
  </w:docVars>
  <w:rsids>
    <w:rsidRoot w:val="004506F9"/>
    <w:rsid w:val="0000001A"/>
    <w:rsid w:val="0002229B"/>
    <w:rsid w:val="000273BD"/>
    <w:rsid w:val="0003620C"/>
    <w:rsid w:val="00040CBC"/>
    <w:rsid w:val="000415B7"/>
    <w:rsid w:val="00041E3F"/>
    <w:rsid w:val="00055DAA"/>
    <w:rsid w:val="00061F7B"/>
    <w:rsid w:val="000658A3"/>
    <w:rsid w:val="00074155"/>
    <w:rsid w:val="00080785"/>
    <w:rsid w:val="000A3F69"/>
    <w:rsid w:val="000B20F1"/>
    <w:rsid w:val="000C5742"/>
    <w:rsid w:val="00103957"/>
    <w:rsid w:val="00152C6D"/>
    <w:rsid w:val="00162D39"/>
    <w:rsid w:val="001678BD"/>
    <w:rsid w:val="00182373"/>
    <w:rsid w:val="001A67DB"/>
    <w:rsid w:val="001B67D1"/>
    <w:rsid w:val="001C3C29"/>
    <w:rsid w:val="001D2B79"/>
    <w:rsid w:val="001D51E5"/>
    <w:rsid w:val="001E080D"/>
    <w:rsid w:val="001E53D0"/>
    <w:rsid w:val="001F0C3B"/>
    <w:rsid w:val="00202C82"/>
    <w:rsid w:val="00214427"/>
    <w:rsid w:val="00220689"/>
    <w:rsid w:val="00221AFD"/>
    <w:rsid w:val="00226CB7"/>
    <w:rsid w:val="00252450"/>
    <w:rsid w:val="00264552"/>
    <w:rsid w:val="00264EF9"/>
    <w:rsid w:val="00265724"/>
    <w:rsid w:val="0027426B"/>
    <w:rsid w:val="00296D60"/>
    <w:rsid w:val="002E0A30"/>
    <w:rsid w:val="0030077D"/>
    <w:rsid w:val="003130C4"/>
    <w:rsid w:val="00316C4B"/>
    <w:rsid w:val="0032192B"/>
    <w:rsid w:val="0033283E"/>
    <w:rsid w:val="003479BD"/>
    <w:rsid w:val="0037197D"/>
    <w:rsid w:val="003768D5"/>
    <w:rsid w:val="003926B9"/>
    <w:rsid w:val="003C2E17"/>
    <w:rsid w:val="003C47E6"/>
    <w:rsid w:val="003C4FC2"/>
    <w:rsid w:val="00401F9A"/>
    <w:rsid w:val="00416E61"/>
    <w:rsid w:val="0042790C"/>
    <w:rsid w:val="004506F9"/>
    <w:rsid w:val="00462315"/>
    <w:rsid w:val="004717A2"/>
    <w:rsid w:val="00473DF3"/>
    <w:rsid w:val="00487911"/>
    <w:rsid w:val="00490F48"/>
    <w:rsid w:val="00491741"/>
    <w:rsid w:val="004B0CEE"/>
    <w:rsid w:val="004C2A0A"/>
    <w:rsid w:val="004F5EFB"/>
    <w:rsid w:val="00500E5F"/>
    <w:rsid w:val="005122EF"/>
    <w:rsid w:val="0051441A"/>
    <w:rsid w:val="00517C33"/>
    <w:rsid w:val="00517D5F"/>
    <w:rsid w:val="00523644"/>
    <w:rsid w:val="0054069E"/>
    <w:rsid w:val="00544866"/>
    <w:rsid w:val="00552A3D"/>
    <w:rsid w:val="00574CC8"/>
    <w:rsid w:val="005767CC"/>
    <w:rsid w:val="00590D9F"/>
    <w:rsid w:val="00595D26"/>
    <w:rsid w:val="005A74E6"/>
    <w:rsid w:val="005B404E"/>
    <w:rsid w:val="005D4D55"/>
    <w:rsid w:val="005E0E6C"/>
    <w:rsid w:val="005E2CFB"/>
    <w:rsid w:val="005F2103"/>
    <w:rsid w:val="005F3D1C"/>
    <w:rsid w:val="005F4189"/>
    <w:rsid w:val="006171EE"/>
    <w:rsid w:val="0062378F"/>
    <w:rsid w:val="00641842"/>
    <w:rsid w:val="00651EEC"/>
    <w:rsid w:val="00686673"/>
    <w:rsid w:val="00691E8C"/>
    <w:rsid w:val="006A22C4"/>
    <w:rsid w:val="006A351B"/>
    <w:rsid w:val="006B0422"/>
    <w:rsid w:val="006C1B53"/>
    <w:rsid w:val="006D7730"/>
    <w:rsid w:val="006E5284"/>
    <w:rsid w:val="006F3EB5"/>
    <w:rsid w:val="006F56C8"/>
    <w:rsid w:val="00702E34"/>
    <w:rsid w:val="00704395"/>
    <w:rsid w:val="00710FE7"/>
    <w:rsid w:val="00717621"/>
    <w:rsid w:val="00720FF1"/>
    <w:rsid w:val="00727A53"/>
    <w:rsid w:val="007502DE"/>
    <w:rsid w:val="00787B42"/>
    <w:rsid w:val="007C4539"/>
    <w:rsid w:val="007F3657"/>
    <w:rsid w:val="00810F0C"/>
    <w:rsid w:val="00811AA2"/>
    <w:rsid w:val="00812ED5"/>
    <w:rsid w:val="008277D9"/>
    <w:rsid w:val="0084478C"/>
    <w:rsid w:val="0086638C"/>
    <w:rsid w:val="008764FA"/>
    <w:rsid w:val="008A1079"/>
    <w:rsid w:val="008A3E8D"/>
    <w:rsid w:val="008A5055"/>
    <w:rsid w:val="008D17F4"/>
    <w:rsid w:val="009237C4"/>
    <w:rsid w:val="00944C48"/>
    <w:rsid w:val="00950252"/>
    <w:rsid w:val="00967F5D"/>
    <w:rsid w:val="009A0F95"/>
    <w:rsid w:val="009B3ADF"/>
    <w:rsid w:val="009C31C5"/>
    <w:rsid w:val="009C3B52"/>
    <w:rsid w:val="009E6817"/>
    <w:rsid w:val="009E6E9A"/>
    <w:rsid w:val="00A01D2B"/>
    <w:rsid w:val="00A1392A"/>
    <w:rsid w:val="00A42218"/>
    <w:rsid w:val="00A70249"/>
    <w:rsid w:val="00A70B02"/>
    <w:rsid w:val="00A71D9F"/>
    <w:rsid w:val="00A92E9F"/>
    <w:rsid w:val="00AB18FF"/>
    <w:rsid w:val="00B26269"/>
    <w:rsid w:val="00B33BEA"/>
    <w:rsid w:val="00B57C9F"/>
    <w:rsid w:val="00B63572"/>
    <w:rsid w:val="00B845B3"/>
    <w:rsid w:val="00B85D8B"/>
    <w:rsid w:val="00BB4A40"/>
    <w:rsid w:val="00BD6022"/>
    <w:rsid w:val="00BD6C3E"/>
    <w:rsid w:val="00BE3674"/>
    <w:rsid w:val="00C10681"/>
    <w:rsid w:val="00C10822"/>
    <w:rsid w:val="00C15C89"/>
    <w:rsid w:val="00C27C0D"/>
    <w:rsid w:val="00C3049A"/>
    <w:rsid w:val="00C31B1E"/>
    <w:rsid w:val="00C32F2E"/>
    <w:rsid w:val="00C73888"/>
    <w:rsid w:val="00C77645"/>
    <w:rsid w:val="00CE04C3"/>
    <w:rsid w:val="00CE34BE"/>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775D075"/>
    <w:rsid w:val="11D62CA5"/>
    <w:rsid w:val="13B27640"/>
    <w:rsid w:val="1618168F"/>
    <w:rsid w:val="17217828"/>
    <w:rsid w:val="1BED6AE9"/>
    <w:rsid w:val="1D97DEFF"/>
    <w:rsid w:val="1DFF72E5"/>
    <w:rsid w:val="1EFC6F07"/>
    <w:rsid w:val="1FFE7D0E"/>
    <w:rsid w:val="29F36EBD"/>
    <w:rsid w:val="2BFE252D"/>
    <w:rsid w:val="2FDF85B8"/>
    <w:rsid w:val="2FFFEE04"/>
    <w:rsid w:val="30F53F72"/>
    <w:rsid w:val="34DF85B0"/>
    <w:rsid w:val="354F3C67"/>
    <w:rsid w:val="3A6F52B4"/>
    <w:rsid w:val="3B8F36BC"/>
    <w:rsid w:val="3BB72E0C"/>
    <w:rsid w:val="3F1E7740"/>
    <w:rsid w:val="3F5FF364"/>
    <w:rsid w:val="3FB75E82"/>
    <w:rsid w:val="3FDBC178"/>
    <w:rsid w:val="3FFF8707"/>
    <w:rsid w:val="44C909E9"/>
    <w:rsid w:val="491FF225"/>
    <w:rsid w:val="4F6F184A"/>
    <w:rsid w:val="4FD37D0A"/>
    <w:rsid w:val="4FFD214C"/>
    <w:rsid w:val="506EEB87"/>
    <w:rsid w:val="51FED7AB"/>
    <w:rsid w:val="52FF890C"/>
    <w:rsid w:val="5777D4F5"/>
    <w:rsid w:val="57A25AFD"/>
    <w:rsid w:val="59DD8326"/>
    <w:rsid w:val="5B66C500"/>
    <w:rsid w:val="5B7B86DE"/>
    <w:rsid w:val="5BD462C2"/>
    <w:rsid w:val="5DD7F067"/>
    <w:rsid w:val="5DEF592A"/>
    <w:rsid w:val="5E2809EB"/>
    <w:rsid w:val="5EFA7CCD"/>
    <w:rsid w:val="5FAD1E11"/>
    <w:rsid w:val="5FB79EF2"/>
    <w:rsid w:val="5FC6BB1E"/>
    <w:rsid w:val="5FF5BA01"/>
    <w:rsid w:val="5FF720F1"/>
    <w:rsid w:val="625B6ECB"/>
    <w:rsid w:val="62FFAFA7"/>
    <w:rsid w:val="63BFD95A"/>
    <w:rsid w:val="655F453B"/>
    <w:rsid w:val="659E47D7"/>
    <w:rsid w:val="67FF5C0B"/>
    <w:rsid w:val="6C2D9356"/>
    <w:rsid w:val="6D7D5AC4"/>
    <w:rsid w:val="6DCDCC95"/>
    <w:rsid w:val="6E7E4CC4"/>
    <w:rsid w:val="6EFC0924"/>
    <w:rsid w:val="6F55CEDE"/>
    <w:rsid w:val="6FB74722"/>
    <w:rsid w:val="6FB8A300"/>
    <w:rsid w:val="6FBB27F8"/>
    <w:rsid w:val="6FBFCEDE"/>
    <w:rsid w:val="6FEA8076"/>
    <w:rsid w:val="6FEF8B7E"/>
    <w:rsid w:val="6FFB8FBA"/>
    <w:rsid w:val="6FFF438D"/>
    <w:rsid w:val="718ECB19"/>
    <w:rsid w:val="71A6591B"/>
    <w:rsid w:val="737D59BA"/>
    <w:rsid w:val="73FF6C67"/>
    <w:rsid w:val="74F68E43"/>
    <w:rsid w:val="74FFB67E"/>
    <w:rsid w:val="757DE146"/>
    <w:rsid w:val="75ED5D32"/>
    <w:rsid w:val="76F7CA89"/>
    <w:rsid w:val="77618C7F"/>
    <w:rsid w:val="776E207A"/>
    <w:rsid w:val="77C37683"/>
    <w:rsid w:val="77DF5221"/>
    <w:rsid w:val="77E4C240"/>
    <w:rsid w:val="78FF9A3A"/>
    <w:rsid w:val="79D19834"/>
    <w:rsid w:val="79FE0A82"/>
    <w:rsid w:val="79FF515B"/>
    <w:rsid w:val="7AB9EDE4"/>
    <w:rsid w:val="7B8BEDA8"/>
    <w:rsid w:val="7BF137BB"/>
    <w:rsid w:val="7BF9D67C"/>
    <w:rsid w:val="7BFDCD51"/>
    <w:rsid w:val="7BFE8815"/>
    <w:rsid w:val="7BFF5A87"/>
    <w:rsid w:val="7C7E7856"/>
    <w:rsid w:val="7CA3E458"/>
    <w:rsid w:val="7CBFAC33"/>
    <w:rsid w:val="7CDD9F20"/>
    <w:rsid w:val="7CEFDB40"/>
    <w:rsid w:val="7DA7CD2A"/>
    <w:rsid w:val="7DF935B1"/>
    <w:rsid w:val="7DFCCCA3"/>
    <w:rsid w:val="7E9E1962"/>
    <w:rsid w:val="7E9F11B4"/>
    <w:rsid w:val="7EED2770"/>
    <w:rsid w:val="7EFD9788"/>
    <w:rsid w:val="7F01F6BB"/>
    <w:rsid w:val="7F37EC1E"/>
    <w:rsid w:val="7F7D58EC"/>
    <w:rsid w:val="7F7DCD9D"/>
    <w:rsid w:val="7F970A6F"/>
    <w:rsid w:val="7FA58006"/>
    <w:rsid w:val="7FBE0C6F"/>
    <w:rsid w:val="7FC1FFF3"/>
    <w:rsid w:val="7FC69637"/>
    <w:rsid w:val="7FDF8620"/>
    <w:rsid w:val="7FE4623D"/>
    <w:rsid w:val="7FE8C8F7"/>
    <w:rsid w:val="7FF29EAC"/>
    <w:rsid w:val="7FFB242F"/>
    <w:rsid w:val="7FFB2B85"/>
    <w:rsid w:val="7FFC34C4"/>
    <w:rsid w:val="7FFDB408"/>
    <w:rsid w:val="7FFE4EEB"/>
    <w:rsid w:val="8FFF9393"/>
    <w:rsid w:val="95FB2B98"/>
    <w:rsid w:val="9A639BC2"/>
    <w:rsid w:val="9D4B5CFF"/>
    <w:rsid w:val="9DFFA0A2"/>
    <w:rsid w:val="9FF7D786"/>
    <w:rsid w:val="9FF7E8A0"/>
    <w:rsid w:val="9FFAB80F"/>
    <w:rsid w:val="ABBFB23D"/>
    <w:rsid w:val="AD5F5AE9"/>
    <w:rsid w:val="AD6B10D0"/>
    <w:rsid w:val="ADFAD17F"/>
    <w:rsid w:val="ADFB80C3"/>
    <w:rsid w:val="AEFD2F27"/>
    <w:rsid w:val="AFFF28AB"/>
    <w:rsid w:val="B16B595D"/>
    <w:rsid w:val="BA7B23C6"/>
    <w:rsid w:val="BE7FA5CC"/>
    <w:rsid w:val="BEBB2EF7"/>
    <w:rsid w:val="BFB89356"/>
    <w:rsid w:val="BFF5E747"/>
    <w:rsid w:val="BFFF2FBB"/>
    <w:rsid w:val="C3B4DA5A"/>
    <w:rsid w:val="CBB55016"/>
    <w:rsid w:val="CBFF70E0"/>
    <w:rsid w:val="CE9FC81E"/>
    <w:rsid w:val="CF277A18"/>
    <w:rsid w:val="CFF50B82"/>
    <w:rsid w:val="CFFF7263"/>
    <w:rsid w:val="CFFFAD89"/>
    <w:rsid w:val="D5FF747B"/>
    <w:rsid w:val="D7EC0D77"/>
    <w:rsid w:val="D7EDADAE"/>
    <w:rsid w:val="DCFF4612"/>
    <w:rsid w:val="DFAB691F"/>
    <w:rsid w:val="DFEFD79F"/>
    <w:rsid w:val="DFF7CC08"/>
    <w:rsid w:val="DFF7E9E8"/>
    <w:rsid w:val="DFFB1764"/>
    <w:rsid w:val="DFFE359E"/>
    <w:rsid w:val="DFFE4FFD"/>
    <w:rsid w:val="DFFE9112"/>
    <w:rsid w:val="E3FBF8C9"/>
    <w:rsid w:val="E7EB9FFD"/>
    <w:rsid w:val="E9F71EFB"/>
    <w:rsid w:val="EEABED75"/>
    <w:rsid w:val="EF15F6AA"/>
    <w:rsid w:val="EFDF0A3E"/>
    <w:rsid w:val="EFEFEE0B"/>
    <w:rsid w:val="F38D895D"/>
    <w:rsid w:val="F54FB891"/>
    <w:rsid w:val="F56FDF51"/>
    <w:rsid w:val="F66DC54A"/>
    <w:rsid w:val="F6B69F17"/>
    <w:rsid w:val="F7777AA9"/>
    <w:rsid w:val="F77F1D61"/>
    <w:rsid w:val="F7FED3A9"/>
    <w:rsid w:val="F8C9DB26"/>
    <w:rsid w:val="F93E68A4"/>
    <w:rsid w:val="F97E8EAE"/>
    <w:rsid w:val="FA517934"/>
    <w:rsid w:val="FA5DA317"/>
    <w:rsid w:val="FB36E1A6"/>
    <w:rsid w:val="FB3BD7B7"/>
    <w:rsid w:val="FB3BE134"/>
    <w:rsid w:val="FB6E079A"/>
    <w:rsid w:val="FB7E255A"/>
    <w:rsid w:val="FB9DC165"/>
    <w:rsid w:val="FBE766E3"/>
    <w:rsid w:val="FCDFAC98"/>
    <w:rsid w:val="FCFF4275"/>
    <w:rsid w:val="FD7FEEEA"/>
    <w:rsid w:val="FDABA8D4"/>
    <w:rsid w:val="FDFFB577"/>
    <w:rsid w:val="FE734873"/>
    <w:rsid w:val="FEEA50FE"/>
    <w:rsid w:val="FEF5F981"/>
    <w:rsid w:val="FF5FEDB2"/>
    <w:rsid w:val="FF63570C"/>
    <w:rsid w:val="FF7D47A9"/>
    <w:rsid w:val="FFCF21CB"/>
    <w:rsid w:val="FFEC2FFB"/>
    <w:rsid w:val="FFF94DA1"/>
    <w:rsid w:val="FFFDCFF5"/>
    <w:rsid w:val="FFFDD0B7"/>
    <w:rsid w:val="FFFE5635"/>
    <w:rsid w:val="FFFF1C8B"/>
    <w:rsid w:val="FFFFD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next w:val="1"/>
    <w:qFormat/>
    <w:uiPriority w:val="0"/>
    <w:pPr>
      <w:widowControl w:val="0"/>
      <w:spacing w:beforeAutospacing="0" w:afterAutospacing="0" w:line="560" w:lineRule="exact"/>
      <w:ind w:firstLine="720" w:firstLineChars="200"/>
      <w:jc w:val="both"/>
      <w:outlineLvl w:val="0"/>
    </w:pPr>
    <w:rPr>
      <w:rFonts w:ascii="Times New Roman" w:hAnsi="Times New Roman" w:eastAsia="黑体" w:cs="Times New Roman"/>
      <w:snapToGrid w:val="0"/>
      <w:color w:val="000000"/>
      <w:kern w:val="44"/>
      <w:sz w:val="32"/>
      <w:szCs w:val="21"/>
      <w:lang w:val="en-US" w:eastAsia="zh-CN" w:bidi="ar-SA"/>
    </w:rPr>
  </w:style>
  <w:style w:type="paragraph" w:styleId="4">
    <w:name w:val="heading 2"/>
    <w:next w:val="1"/>
    <w:qFormat/>
    <w:uiPriority w:val="0"/>
    <w:pPr>
      <w:keepNext w:val="0"/>
      <w:keepLines w:val="0"/>
      <w:widowControl w:val="0"/>
      <w:spacing w:beforeLines="0" w:beforeAutospacing="0" w:afterLines="0" w:afterAutospacing="0" w:line="560" w:lineRule="exact"/>
      <w:ind w:firstLine="560" w:firstLineChars="200"/>
      <w:jc w:val="both"/>
      <w:outlineLvl w:val="1"/>
    </w:pPr>
    <w:rPr>
      <w:rFonts w:ascii="Times New Roman" w:hAnsi="Times New Roman" w:eastAsia="楷体" w:cs="Times New Roman"/>
      <w:b/>
      <w:kern w:val="2"/>
      <w:sz w:val="32"/>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spacing w:after="120" w:afterLines="0" w:afterAutospacing="0" w:line="560" w:lineRule="exact"/>
      <w:ind w:firstLine="720" w:firstLineChars="200"/>
      <w:jc w:val="both"/>
    </w:pPr>
    <w:rPr>
      <w:rFonts w:ascii="Times New Roman" w:hAnsi="Times New Roman" w:eastAsia="仿宋_GB2312" w:cs="Times New Roman"/>
      <w:kern w:val="2"/>
      <w:sz w:val="32"/>
      <w:szCs w:val="32"/>
      <w:lang w:val="en-US" w:eastAsia="zh-CN" w:bidi="ar-SA"/>
    </w:rPr>
  </w:style>
  <w:style w:type="paragraph" w:styleId="5">
    <w:name w:val="Body Text Indent"/>
    <w:basedOn w:val="1"/>
    <w:next w:val="6"/>
    <w:unhideWhenUsed/>
    <w:qFormat/>
    <w:uiPriority w:val="99"/>
    <w:pPr>
      <w:widowControl/>
      <w:spacing w:after="120"/>
      <w:ind w:left="420" w:leftChars="200"/>
      <w:jc w:val="left"/>
    </w:pPr>
    <w:rPr>
      <w:rFonts w:ascii="宋体" w:hAnsi="宋体" w:eastAsia="宋体" w:cs="宋体"/>
      <w:kern w:val="0"/>
      <w:sz w:val="24"/>
    </w:rPr>
  </w:style>
  <w:style w:type="paragraph" w:styleId="6">
    <w:name w:val="Body Text First Indent 2"/>
    <w:basedOn w:val="5"/>
    <w:next w:val="1"/>
    <w:unhideWhenUsed/>
    <w:qFormat/>
    <w:uiPriority w:val="99"/>
    <w:pPr>
      <w:ind w:firstLine="420" w:firstLineChars="200"/>
    </w:pPr>
  </w:style>
  <w:style w:type="paragraph" w:styleId="7">
    <w:name w:val="Balloon Text"/>
    <w:basedOn w:val="1"/>
    <w:link w:val="17"/>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next w:val="6"/>
    <w:semiHidden/>
    <w:qFormat/>
    <w:uiPriority w:val="0"/>
    <w:pPr>
      <w:snapToGrid w:val="0"/>
      <w:jc w:val="left"/>
    </w:pPr>
    <w:rPr>
      <w:sz w:val="18"/>
      <w:szCs w:val="18"/>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2"/>
    <w:link w:val="7"/>
    <w:semiHidden/>
    <w:qFormat/>
    <w:uiPriority w:val="99"/>
    <w:rPr>
      <w:sz w:val="18"/>
      <w:szCs w:val="18"/>
    </w:rPr>
  </w:style>
  <w:style w:type="character" w:customStyle="1" w:styleId="18">
    <w:name w:val="font01"/>
    <w:basedOn w:val="12"/>
    <w:qFormat/>
    <w:uiPriority w:val="0"/>
    <w:rPr>
      <w:rFonts w:hint="eastAsia" w:ascii="宋体" w:hAnsi="宋体" w:eastAsia="宋体" w:cs="宋体"/>
      <w:color w:val="000000"/>
      <w:sz w:val="22"/>
      <w:szCs w:val="22"/>
      <w:u w:val="none"/>
    </w:rPr>
  </w:style>
  <w:style w:type="character" w:customStyle="1" w:styleId="19">
    <w:name w:val="font21"/>
    <w:basedOn w:val="12"/>
    <w:qFormat/>
    <w:uiPriority w:val="0"/>
    <w:rPr>
      <w:rFonts w:hint="eastAsia" w:ascii="宋体" w:hAnsi="宋体" w:eastAsia="宋体" w:cs="宋体"/>
      <w:color w:val="000000"/>
      <w:sz w:val="24"/>
      <w:szCs w:val="24"/>
      <w:u w:val="none"/>
    </w:rPr>
  </w:style>
  <w:style w:type="character" w:customStyle="1" w:styleId="20">
    <w:name w:val="font1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59</Pages>
  <Words>19962</Words>
  <Characters>23197</Characters>
  <Lines>69</Lines>
  <Paragraphs>19</Paragraphs>
  <TotalTime>0</TotalTime>
  <ScaleCrop>false</ScaleCrop>
  <LinksUpToDate>false</LinksUpToDate>
  <CharactersWithSpaces>25292</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2025-08-21T18:17:00Z</dcterms:created>
  <dc:creator>李航 null</dc:creator>
  <cp:lastModifiedBy>kylin</cp:lastModifiedBy>
  <cp:lastPrinted>2024-08-12T02:20:00Z</cp:lastPrinted>
  <dcterms:modified xsi:type="dcterms:W3CDTF">2025-09-28T09:32:04Z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BB7B6AA21D207914D6FDA268992A22D6</vt:lpwstr>
  </property>
</Properties>
</file>