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jc w:val="center"/>
        <w:rPr>
          <w:rFonts w:ascii="Times New Roman" w:hAnsi="Times New Roman" w:eastAsia="方正小标宋_GBK" w:cs="Times New Roman"/>
          <w:sz w:val="56"/>
          <w:szCs w:val="56"/>
        </w:rPr>
      </w:pPr>
    </w:p>
    <w:p>
      <w:pPr>
        <w:pStyle w:val="18"/>
        <w:jc w:val="center"/>
        <w:rPr>
          <w:rFonts w:ascii="Times New Roman" w:hAnsi="Times New Roman" w:cs="Times New Roman"/>
          <w:sz w:val="56"/>
          <w:szCs w:val="56"/>
        </w:rPr>
      </w:pPr>
    </w:p>
    <w:p>
      <w:pPr>
        <w:pStyle w:val="18"/>
        <w:rPr>
          <w:rFonts w:ascii="Times New Roman" w:hAnsi="Times New Roman" w:cs="Times New Roman"/>
          <w:sz w:val="56"/>
          <w:szCs w:val="56"/>
        </w:rPr>
      </w:pPr>
    </w:p>
    <w:p>
      <w:pPr>
        <w:pStyle w:val="18"/>
        <w:jc w:val="center"/>
        <w:rPr>
          <w:rFonts w:ascii="Times New Roman" w:hAnsi="Times New Roman" w:cs="Times New Roman"/>
          <w:sz w:val="32"/>
          <w:szCs w:val="32"/>
        </w:rPr>
      </w:pPr>
    </w:p>
    <w:p>
      <w:pPr>
        <w:pStyle w:val="18"/>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pPr>
        <w:pStyle w:val="18"/>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rPr>
        <w:t>湖南省网络商品交易监测中心</w:t>
      </w:r>
      <w:r>
        <w:rPr>
          <w:rFonts w:hint="eastAsia" w:ascii="Times New Roman" w:hAnsi="Times New Roman" w:eastAsia="方正小标宋简体" w:cs="Times New Roman"/>
          <w:sz w:val="72"/>
          <w:szCs w:val="72"/>
          <w:lang w:eastAsia="zh-CN"/>
        </w:rPr>
        <w:t>单位</w:t>
      </w:r>
      <w:r>
        <w:rPr>
          <w:rFonts w:ascii="Times New Roman" w:hAnsi="Times New Roman" w:eastAsia="方正小标宋简体" w:cs="Times New Roman"/>
          <w:sz w:val="72"/>
          <w:szCs w:val="72"/>
        </w:rPr>
        <w:t>决算</w:t>
      </w:r>
    </w:p>
    <w:p>
      <w:pPr>
        <w:pStyle w:val="18"/>
        <w:spacing w:line="600" w:lineRule="exact"/>
        <w:jc w:val="both"/>
        <w:rPr>
          <w:rFonts w:ascii="Times New Roman" w:hAnsi="Times New Roman" w:cs="Times New Roman"/>
          <w:b/>
          <w:sz w:val="36"/>
          <w:szCs w:val="28"/>
        </w:rPr>
        <w:sectPr>
          <w:footerReference r:id="rId3" w:type="default"/>
          <w:pgSz w:w="11906" w:h="16838"/>
          <w:pgMar w:top="1417" w:right="1588" w:bottom="1417" w:left="1588" w:header="851" w:footer="992" w:gutter="0"/>
          <w:pgNumType w:start="1"/>
          <w:cols w:space="425" w:num="1"/>
          <w:docGrid w:type="lines" w:linePitch="312" w:charSpace="0"/>
        </w:sectPr>
      </w:pPr>
    </w:p>
    <w:p>
      <w:pPr>
        <w:pStyle w:val="18"/>
        <w:jc w:val="center"/>
        <w:rPr>
          <w:rFonts w:ascii="Times New Roman" w:hAnsi="Times New Roman" w:cs="Times New Roman"/>
          <w:sz w:val="32"/>
          <w:szCs w:val="32"/>
        </w:rPr>
      </w:pPr>
    </w:p>
    <w:p>
      <w:pPr>
        <w:pStyle w:val="18"/>
        <w:jc w:val="center"/>
        <w:rPr>
          <w:rFonts w:ascii="Times New Roman" w:hAnsi="Times New Roman" w:cs="Times New Roman"/>
          <w:sz w:val="32"/>
          <w:szCs w:val="32"/>
        </w:rPr>
      </w:pPr>
    </w:p>
    <w:p>
      <w:pPr>
        <w:pStyle w:val="18"/>
        <w:jc w:val="center"/>
        <w:rPr>
          <w:rFonts w:ascii="Times New Roman" w:hAnsi="Times New Roman" w:cs="Times New Roman"/>
          <w:sz w:val="32"/>
          <w:szCs w:val="32"/>
        </w:rPr>
      </w:pPr>
    </w:p>
    <w:p>
      <w:pPr>
        <w:pStyle w:val="18"/>
        <w:jc w:val="center"/>
        <w:rPr>
          <w:rFonts w:ascii="Times New Roman" w:hAnsi="Times New Roman" w:cs="Times New Roman"/>
          <w:sz w:val="32"/>
          <w:szCs w:val="32"/>
        </w:rPr>
      </w:pPr>
    </w:p>
    <w:p>
      <w:pPr>
        <w:pStyle w:val="18"/>
        <w:jc w:val="center"/>
        <w:rPr>
          <w:rFonts w:ascii="Times New Roman" w:hAnsi="Times New Roman" w:cs="Times New Roman"/>
          <w:sz w:val="32"/>
          <w:szCs w:val="32"/>
        </w:rPr>
      </w:pPr>
    </w:p>
    <w:p>
      <w:pPr>
        <w:pStyle w:val="18"/>
        <w:spacing w:line="540" w:lineRule="exact"/>
        <w:jc w:val="center"/>
        <w:rPr>
          <w:rFonts w:ascii="Times New Roman" w:hAnsi="Times New Roman" w:cs="Times New Roman"/>
          <w:sz w:val="56"/>
          <w:szCs w:val="56"/>
        </w:rPr>
      </w:pPr>
    </w:p>
    <w:p>
      <w:pPr>
        <w:pStyle w:val="18"/>
        <w:spacing w:line="600" w:lineRule="exact"/>
        <w:jc w:val="both"/>
        <w:rPr>
          <w:rFonts w:ascii="Times New Roman" w:hAnsi="Times New Roman" w:cs="Times New Roman"/>
          <w:b/>
          <w:sz w:val="36"/>
          <w:szCs w:val="28"/>
        </w:rPr>
        <w:sectPr>
          <w:footerReference r:id="rId4" w:type="default"/>
          <w:pgSz w:w="11906" w:h="16838"/>
          <w:pgMar w:top="1417" w:right="1588" w:bottom="1417" w:left="1588" w:header="851" w:footer="992" w:gutter="0"/>
          <w:pgNumType w:start="1"/>
          <w:cols w:space="425" w:num="1"/>
          <w:docGrid w:type="lines" w:linePitch="312" w:charSpace="0"/>
        </w:sectPr>
      </w:pPr>
    </w:p>
    <w:p>
      <w:pPr>
        <w:pStyle w:val="18"/>
        <w:spacing w:line="600" w:lineRule="exact"/>
        <w:jc w:val="both"/>
        <w:rPr>
          <w:rFonts w:ascii="Times New Roman" w:hAnsi="Times New Roman" w:cs="Times New Roman"/>
          <w:b/>
          <w:sz w:val="36"/>
          <w:szCs w:val="28"/>
        </w:rPr>
      </w:pPr>
    </w:p>
    <w:p>
      <w:pPr>
        <w:pStyle w:val="18"/>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pPr>
        <w:pStyle w:val="18"/>
        <w:spacing w:line="600" w:lineRule="exact"/>
        <w:jc w:val="center"/>
        <w:rPr>
          <w:rFonts w:ascii="Times New Roman" w:hAnsi="Times New Roman" w:cs="Times New Roman"/>
          <w:b/>
          <w:sz w:val="36"/>
          <w:szCs w:val="28"/>
        </w:rPr>
      </w:pPr>
    </w:p>
    <w:p>
      <w:pPr>
        <w:pStyle w:val="18"/>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rPr>
        <w:t>湖南省网络商品交易监测中心</w:t>
      </w:r>
      <w:r>
        <w:rPr>
          <w:rFonts w:ascii="Times New Roman" w:hAnsi="Times New Roman" w:cs="Times New Roman"/>
          <w:bCs/>
          <w:sz w:val="32"/>
          <w:szCs w:val="32"/>
        </w:rPr>
        <w:t>单位概况</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决算情况说明</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5" w:type="default"/>
          <w:pgSz w:w="11906" w:h="16838"/>
          <w:pgMar w:top="1417" w:right="1588" w:bottom="1417" w:left="1588" w:header="851" w:footer="992" w:gutter="0"/>
          <w:pgNumType w:start="1"/>
          <w:cols w:space="425" w:num="1"/>
          <w:docGrid w:type="lines" w:linePitch="312" w:charSpace="0"/>
        </w:sectPr>
      </w:pP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pPr>
        <w:pStyle w:val="18"/>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10"/>
        <w:rPr>
          <w:rFonts w:ascii="Times New Roman" w:hAnsi="Times New Roman" w:cs="Times New Roman"/>
        </w:rPr>
        <w:sectPr>
          <w:footerReference r:id="rId6" w:type="default"/>
          <w:pgSz w:w="11906" w:h="16838"/>
          <w:pgMar w:top="1417" w:right="1588" w:bottom="1417" w:left="1588" w:header="851" w:footer="992" w:gutter="0"/>
          <w:pgNumType w:start="1"/>
          <w:cols w:space="425" w:num="1"/>
          <w:docGrid w:type="lines" w:linePitch="312" w:charSpace="0"/>
        </w:sectPr>
      </w:pPr>
    </w:p>
    <w:p>
      <w:pPr>
        <w:rPr>
          <w:rFonts w:ascii="Times New Roman" w:hAnsi="Times New Roman" w:eastAsia="方正小标宋_GBK" w:cs="Times New Roman"/>
          <w:sz w:val="72"/>
          <w:szCs w:val="7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pPr>
        <w:pStyle w:val="18"/>
        <w:spacing w:line="360" w:lineRule="auto"/>
        <w:jc w:val="center"/>
        <w:rPr>
          <w:rFonts w:hint="eastAsia" w:ascii="Times New Roman" w:hAnsi="Times New Roman" w:eastAsia="方正小标宋_GBK" w:cs="Times New Roman"/>
          <w:sz w:val="52"/>
          <w:szCs w:val="52"/>
        </w:rPr>
      </w:pPr>
      <w:r>
        <w:rPr>
          <w:rFonts w:hint="eastAsia" w:ascii="Times New Roman" w:hAnsi="Times New Roman" w:eastAsia="方正小标宋_GBK" w:cs="Times New Roman"/>
          <w:sz w:val="52"/>
          <w:szCs w:val="52"/>
        </w:rPr>
        <w:t>湖南省网络商品交易监测中心</w:t>
      </w: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单位概况</w:t>
      </w:r>
    </w:p>
    <w:p>
      <w:pPr>
        <w:pStyle w:val="6"/>
        <w:ind w:left="0" w:leftChars="0" w:firstLine="0" w:firstLineChars="0"/>
        <w:rPr>
          <w:rFonts w:ascii="Times New Roman" w:hAnsi="Times New Roman" w:cs="Times New Roman"/>
        </w:rPr>
      </w:pPr>
    </w:p>
    <w:p>
      <w:pPr>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br w:type="page"/>
      </w:r>
    </w:p>
    <w:p>
      <w:pPr>
        <w:pStyle w:val="19"/>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（一）承担网络交易监测、广告监测相关事务性工作。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（二）开展网络交易、广告违法线索电子取证和固证工作。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（三）协助指导督促网络交易平台经营者落实主体责任；协助指导参与全省网络交易监测、广告监测平台的规划、建设及管理；协助网络交易、广告经营者信用监管相关事务性工作。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（四）开展网络交易监测、广告监测学术研究和交流合作。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（五）完成省市场监督管理局交办的其他任务。</w:t>
      </w:r>
    </w:p>
    <w:p>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（一）内设机构设置。湖南省网络商品交易监测中心内设机构包括：综合部、网络交易</w:t>
      </w:r>
      <w:r>
        <w:rPr>
          <w:rFonts w:hint="eastAsia" w:ascii="Times New Roman" w:hAnsi="Times New Roman" w:eastAsia="仿宋_GB2312" w:cs="Times New Roman"/>
          <w:sz w:val="32"/>
          <w:szCs w:val="32"/>
          <w:lang w:val="en-US" w:eastAsia="zh-CN"/>
        </w:rPr>
        <w:t>及</w:t>
      </w:r>
      <w:r>
        <w:rPr>
          <w:rFonts w:hint="eastAsia" w:ascii="Times New Roman" w:hAnsi="Times New Roman" w:eastAsia="仿宋_GB2312" w:cs="Times New Roman"/>
          <w:sz w:val="32"/>
          <w:szCs w:val="32"/>
        </w:rPr>
        <w:t>广告监测部。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（二）决算单位构成。湖南省网络商品交易监测中心2024年部门决算汇总公开单位构成包括：湖南省网络商品交易监测中心本级</w:t>
      </w:r>
      <w:r>
        <w:rPr>
          <w:rFonts w:hint="eastAsia" w:ascii="Times New Roman" w:hAnsi="Times New Roman" w:eastAsia="仿宋_GB2312" w:cs="Times New Roman"/>
          <w:sz w:val="32"/>
          <w:szCs w:val="32"/>
          <w:lang w:eastAsia="zh-CN"/>
        </w:rPr>
        <w:t>。</w:t>
      </w:r>
    </w:p>
    <w:p>
      <w:pPr>
        <w:jc w:val="left"/>
        <w:rPr>
          <w:rFonts w:ascii="Times New Roman" w:hAnsi="Times New Roman" w:eastAsia="仿宋_GB2312" w:cs="Times New Roman"/>
          <w:sz w:val="28"/>
          <w:szCs w:val="32"/>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10"/>
        <w:rPr>
          <w:rFonts w:ascii="Times New Roman" w:hAnsi="Times New Roman" w:cs="Times New Roman"/>
        </w:rPr>
        <w:sectPr>
          <w:footerReference r:id="rId7" w:type="default"/>
          <w:pgSz w:w="11906" w:h="16838"/>
          <w:pgMar w:top="1417" w:right="1588" w:bottom="1417" w:left="1588" w:header="851" w:footer="992" w:gutter="0"/>
          <w:pgNumType w:start="1"/>
          <w:cols w:space="425" w:num="1"/>
          <w:docGrid w:type="lines" w:linePitch="312" w:charSpace="0"/>
        </w:sectPr>
      </w:pPr>
    </w:p>
    <w:p>
      <w:pPr>
        <w:pStyle w:val="18"/>
        <w:jc w:val="center"/>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p>
    <w:p>
      <w:pPr>
        <w:pStyle w:val="18"/>
        <w:jc w:val="both"/>
        <w:rPr>
          <w:rFonts w:ascii="Times New Roman" w:hAnsi="Times New Roman" w:eastAsia="方正小标宋_GBK" w:cs="Times New Roman"/>
          <w:sz w:val="52"/>
          <w:szCs w:val="52"/>
        </w:rPr>
      </w:pPr>
    </w:p>
    <w:p>
      <w:pPr>
        <w:pStyle w:val="18"/>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决算表</w:t>
      </w:r>
    </w:p>
    <w:p>
      <w:pP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br w:type="page"/>
      </w:r>
    </w:p>
    <w:p>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lang w:bidi="ar"/>
        </w:rPr>
        <w:t>收入支出决算总表</w:t>
      </w:r>
    </w:p>
    <w:tbl>
      <w:tblPr>
        <w:tblStyle w:val="13"/>
        <w:tblW w:w="140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67"/>
        <w:gridCol w:w="854"/>
        <w:gridCol w:w="1427"/>
        <w:gridCol w:w="4583"/>
        <w:gridCol w:w="854"/>
        <w:gridCol w:w="1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4867"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854"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427"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4583"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2287" w:type="dxa"/>
            <w:gridSpan w:val="2"/>
            <w:tcBorders>
              <w:top w:val="nil"/>
              <w:left w:val="nil"/>
              <w:bottom w:val="nil"/>
              <w:right w:val="nil"/>
              <w:tl2br w:val="nil"/>
              <w:tr2bl w:val="nil"/>
            </w:tcBorders>
            <w:shd w:val="clear" w:color="auto" w:fill="FFFFFF"/>
            <w:vAlign w:val="center"/>
          </w:tcPr>
          <w:p>
            <w:pPr>
              <w:widowControl/>
              <w:spacing w:beforeLines="0" w:afterLines="0"/>
              <w:ind w:firstLine="1200" w:firstLineChars="6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1731" w:type="dxa"/>
            <w:gridSpan w:val="4"/>
            <w:tcBorders>
              <w:top w:val="nil"/>
              <w:left w:val="nil"/>
              <w:bottom w:val="nil"/>
              <w:right w:val="nil"/>
              <w:tl2br w:val="nil"/>
              <w:tr2bl w:val="nil"/>
            </w:tcBorders>
            <w:shd w:val="clear" w:color="auto" w:fill="FFFFFF"/>
            <w:vAlign w:val="bottom"/>
          </w:tcPr>
          <w:p>
            <w:pPr>
              <w:widowControl/>
              <w:spacing w:beforeLines="0" w:afterLines="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单位：湖南省网络商品交易监测中心</w:t>
            </w:r>
          </w:p>
        </w:tc>
        <w:tc>
          <w:tcPr>
            <w:tcW w:w="2287" w:type="dxa"/>
            <w:gridSpan w:val="2"/>
            <w:tcBorders>
              <w:top w:val="nil"/>
              <w:left w:val="nil"/>
              <w:bottom w:val="nil"/>
              <w:right w:val="nil"/>
              <w:tl2br w:val="nil"/>
              <w:tr2bl w:val="nil"/>
            </w:tcBorders>
            <w:shd w:val="clear" w:color="auto" w:fill="FFFFFF"/>
            <w:vAlign w:val="center"/>
          </w:tcPr>
          <w:p>
            <w:pPr>
              <w:widowControl/>
              <w:spacing w:beforeLines="0" w:afterLines="0"/>
              <w:ind w:firstLine="1200" w:firstLineChars="6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714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收入</w:t>
            </w:r>
          </w:p>
        </w:tc>
        <w:tc>
          <w:tcPr>
            <w:tcW w:w="687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行次</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eastAsiaTheme="minorEastAsia"/>
                <w:color w:val="000000"/>
                <w:sz w:val="22"/>
                <w:szCs w:val="22"/>
                <w:lang w:eastAsia="zh-CN"/>
              </w:rPr>
            </w:pPr>
            <w:r>
              <w:rPr>
                <w:rFonts w:hint="eastAsia" w:ascii="宋体" w:hAnsi="宋体" w:cs="宋体"/>
                <w:color w:val="000000"/>
                <w:sz w:val="22"/>
                <w:szCs w:val="22"/>
                <w:lang w:eastAsia="zh-CN"/>
              </w:rPr>
              <w:t>决算数</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行次</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sz w:val="22"/>
                <w:szCs w:val="22"/>
                <w:lang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color w:val="000000"/>
                <w:sz w:val="22"/>
                <w:szCs w:val="22"/>
              </w:rPr>
            </w:pP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color w:val="000000"/>
                <w:sz w:val="22"/>
                <w:szCs w:val="22"/>
              </w:rPr>
            </w:pP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一、一般公共预算财政拨款收入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717.77</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一、一般公共服务支出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32</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457.24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二、政府性基金预算财政拨款收入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二、外交支出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三、国有资本经营预算财政拨款收入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三、国防支出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34</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四、上级补助收入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四、公共安全支出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35</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五、事业收入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五、教育支出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36</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六、经营收入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六、科学技术支出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37</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七、附属单位上缴收入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七、文化旅游体育与传媒支出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38</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八、其他收入</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8</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八、社会保障和就业支出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39</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九、卫生健康支出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40</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十、节能环保支出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41</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十一、城乡社区支出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42</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十二、农林水支出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43</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十三、交通运输支出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44</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十四、资源勘探工业信息等支出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45</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十五、商业服务业等支出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46</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十六、金融支出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十七、援助其他地区支出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48</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十八、自然资源海洋气象等支出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十九、住房保障支出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50</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二十、粮油物资储备支出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51</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二十一、国有资本经营预算支出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52</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二十二、灾害防治及应急管理支出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53</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二十三、其他支出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54</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b/>
                <w:color w:val="000000"/>
                <w:sz w:val="20"/>
                <w:szCs w:val="20"/>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0"/>
                <w:szCs w:val="20"/>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二十四、债务还本支出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55</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0"/>
                <w:szCs w:val="20"/>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0"/>
                <w:szCs w:val="20"/>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二十五、债务付息支出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56</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0"/>
                <w:szCs w:val="20"/>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0"/>
                <w:szCs w:val="20"/>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二十六、抗疫特别国债安排的支出</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57</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本年收入合计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717.77</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本年支出合计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58</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741.53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使用非财政拨款结余（含专用结余）</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结余分配</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59</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年初结转和结余</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29</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51.03</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年末结转和结余</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60</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2"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30</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61</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4" w:hRule="atLeast"/>
        </w:trPr>
        <w:tc>
          <w:tcPr>
            <w:tcW w:w="486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总计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31</w:t>
            </w:r>
          </w:p>
        </w:tc>
        <w:tc>
          <w:tcPr>
            <w:tcW w:w="142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768.80</w:t>
            </w:r>
          </w:p>
        </w:tc>
        <w:tc>
          <w:tcPr>
            <w:tcW w:w="45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总计</w:t>
            </w:r>
          </w:p>
        </w:tc>
        <w:tc>
          <w:tcPr>
            <w:tcW w:w="85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62</w:t>
            </w:r>
          </w:p>
        </w:tc>
        <w:tc>
          <w:tcPr>
            <w:tcW w:w="143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768.80</w:t>
            </w:r>
          </w:p>
        </w:tc>
      </w:tr>
    </w:tbl>
    <w:p>
      <w:pPr>
        <w:pStyle w:val="3"/>
        <w:ind w:left="0" w:leftChars="0" w:firstLine="0" w:firstLineChars="0"/>
        <w:rPr>
          <w:rFonts w:hint="eastAsia" w:ascii="宋体" w:hAnsi="宋体" w:cs="宋体" w:eastAsiaTheme="minorEastAsia"/>
          <w:color w:val="000000"/>
          <w:kern w:val="0"/>
          <w:sz w:val="20"/>
          <w:szCs w:val="20"/>
          <w:lang w:val="en-US" w:eastAsia="zh-CN" w:bidi="ar"/>
        </w:rPr>
      </w:pPr>
      <w:r>
        <w:rPr>
          <w:rFonts w:hint="eastAsia" w:ascii="宋体" w:hAnsi="宋体" w:cs="宋体" w:eastAsiaTheme="minorEastAsia"/>
          <w:color w:val="000000"/>
          <w:kern w:val="0"/>
          <w:sz w:val="20"/>
          <w:szCs w:val="20"/>
          <w:lang w:val="en-US" w:eastAsia="zh-CN" w:bidi="ar"/>
        </w:rPr>
        <w:t>注：1.本表反映部门本年度的总收支和年末结转结余情况。</w:t>
      </w:r>
    </w:p>
    <w:p>
      <w:pPr>
        <w:pStyle w:val="3"/>
        <w:rPr>
          <w:rFonts w:hint="eastAsia" w:ascii="宋体" w:hAnsi="宋体" w:cs="宋体" w:eastAsiaTheme="minorEastAsia"/>
          <w:color w:val="000000"/>
          <w:kern w:val="0"/>
          <w:sz w:val="20"/>
          <w:szCs w:val="20"/>
          <w:lang w:val="en-US" w:eastAsia="zh-CN" w:bidi="ar"/>
        </w:rPr>
      </w:pPr>
      <w:r>
        <w:rPr>
          <w:rFonts w:hint="eastAsia" w:ascii="宋体" w:hAnsi="宋体" w:cs="宋体" w:eastAsiaTheme="minorEastAsia"/>
          <w:color w:val="000000"/>
          <w:kern w:val="0"/>
          <w:sz w:val="20"/>
          <w:szCs w:val="20"/>
          <w:lang w:val="en-US" w:eastAsia="zh-CN" w:bidi="ar"/>
        </w:rPr>
        <w:t xml:space="preserve">  2.本套报表金额单位转换时可能存在尾数误差。</w:t>
      </w:r>
    </w:p>
    <w:p>
      <w:pP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br w:type="page"/>
      </w: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收入决算表</w:t>
      </w:r>
    </w:p>
    <w:tbl>
      <w:tblPr>
        <w:tblStyle w:val="13"/>
        <w:tblW w:w="141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5"/>
        <w:gridCol w:w="285"/>
        <w:gridCol w:w="548"/>
        <w:gridCol w:w="3838"/>
        <w:gridCol w:w="1560"/>
        <w:gridCol w:w="1572"/>
        <w:gridCol w:w="1128"/>
        <w:gridCol w:w="1152"/>
        <w:gridCol w:w="1196"/>
        <w:gridCol w:w="1278"/>
        <w:gridCol w:w="1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9" w:hRule="atLeast"/>
        </w:trPr>
        <w:tc>
          <w:tcPr>
            <w:tcW w:w="28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28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548"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3838"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560"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572"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128"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152"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196"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2571" w:type="dxa"/>
            <w:gridSpan w:val="2"/>
            <w:tcBorders>
              <w:top w:val="nil"/>
              <w:left w:val="nil"/>
              <w:bottom w:val="nil"/>
              <w:right w:val="nil"/>
              <w:tl2br w:val="nil"/>
              <w:tr2bl w:val="nil"/>
            </w:tcBorders>
            <w:shd w:val="clear" w:color="auto" w:fill="FFFFFF"/>
            <w:vAlign w:val="center"/>
          </w:tcPr>
          <w:p>
            <w:pPr>
              <w:widowControl/>
              <w:spacing w:beforeLines="0" w:afterLines="0"/>
              <w:ind w:firstLine="1400" w:firstLineChars="7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9" w:hRule="atLeast"/>
        </w:trPr>
        <w:tc>
          <w:tcPr>
            <w:tcW w:w="14135" w:type="dxa"/>
            <w:gridSpan w:val="11"/>
            <w:tcBorders>
              <w:top w:val="nil"/>
              <w:left w:val="nil"/>
              <w:bottom w:val="nil"/>
              <w:right w:val="nil"/>
              <w:tl2br w:val="nil"/>
              <w:tr2bl w:val="nil"/>
            </w:tcBorders>
            <w:shd w:val="clear" w:color="auto" w:fill="FFFFFF"/>
            <w:vAlign w:val="center"/>
          </w:tcPr>
          <w:p>
            <w:pPr>
              <w:widowControl/>
              <w:spacing w:beforeLines="0" w:afterLines="0"/>
              <w:jc w:val="left"/>
              <w:textAlignment w:val="bottom"/>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单位：湖南省网络商品交易监测中心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4956"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156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本年收入合计</w:t>
            </w:r>
          </w:p>
        </w:tc>
        <w:tc>
          <w:tcPr>
            <w:tcW w:w="15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财政拨款收入</w:t>
            </w:r>
          </w:p>
        </w:tc>
        <w:tc>
          <w:tcPr>
            <w:tcW w:w="112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上级补助收入</w:t>
            </w:r>
          </w:p>
        </w:tc>
        <w:tc>
          <w:tcPr>
            <w:tcW w:w="115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事业收入</w:t>
            </w:r>
          </w:p>
        </w:tc>
        <w:tc>
          <w:tcPr>
            <w:tcW w:w="119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经营收入</w:t>
            </w:r>
          </w:p>
        </w:tc>
        <w:tc>
          <w:tcPr>
            <w:tcW w:w="127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附属单位上缴收入</w:t>
            </w:r>
          </w:p>
        </w:tc>
        <w:tc>
          <w:tcPr>
            <w:tcW w:w="1293"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功能分类科目编码</w:t>
            </w:r>
          </w:p>
        </w:tc>
        <w:tc>
          <w:tcPr>
            <w:tcW w:w="383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科目名称</w:t>
            </w:r>
          </w:p>
        </w:tc>
        <w:tc>
          <w:tcPr>
            <w:tcW w:w="15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2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5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9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7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93"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383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2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5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9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7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93"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1118"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383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2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5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9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7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93"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4956"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w:t>
            </w: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w:t>
            </w: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w:t>
            </w: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w:t>
            </w: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4956"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合计</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bCs/>
                <w:color w:val="000000"/>
                <w:sz w:val="22"/>
                <w:szCs w:val="22"/>
              </w:rPr>
            </w:pPr>
            <w:r>
              <w:rPr>
                <w:rFonts w:hint="eastAsia" w:ascii="宋体" w:hAnsi="宋体" w:cs="宋体"/>
                <w:b/>
                <w:bCs/>
                <w:color w:val="000000"/>
                <w:sz w:val="22"/>
                <w:szCs w:val="22"/>
              </w:rPr>
              <w:t>717.77</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bCs/>
                <w:color w:val="000000"/>
                <w:sz w:val="22"/>
                <w:szCs w:val="22"/>
              </w:rPr>
            </w:pPr>
            <w:r>
              <w:rPr>
                <w:rFonts w:hint="eastAsia" w:ascii="宋体" w:hAnsi="宋体" w:cs="宋体"/>
                <w:b/>
                <w:bCs/>
                <w:color w:val="000000"/>
                <w:sz w:val="22"/>
                <w:szCs w:val="22"/>
              </w:rPr>
              <w:t>717.77</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431.77</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431.77</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市场监督管理事务</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431.77</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431.77</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2013805</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市场秩序执法</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2013850</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事业运行</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367.27</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367.27</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2013899</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教育支出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进修及培训</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2050803</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培训支出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223.50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223.50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193.50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193.50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2080502</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事业单位离退休</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157.50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157.50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36.00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36.00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2080801</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死亡抚恤</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2089999</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2101102</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事业单位医疗</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23.50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11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38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住房公积金</w:t>
            </w:r>
          </w:p>
        </w:tc>
        <w:tc>
          <w:tcPr>
            <w:tcW w:w="15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1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5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19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7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r>
    </w:tbl>
    <w:p>
      <w:pPr>
        <w:widowControl/>
        <w:spacing w:beforeLines="0" w:afterLines="0"/>
        <w:jc w:val="left"/>
        <w:textAlignment w:val="bottom"/>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注：本表反映部门本年度取得的各项收入情况。</w:t>
      </w:r>
    </w:p>
    <w:p>
      <w:pP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br w:type="page"/>
      </w: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支出决算表</w:t>
      </w:r>
    </w:p>
    <w:tbl>
      <w:tblPr>
        <w:tblStyle w:val="13"/>
        <w:tblW w:w="14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
        <w:gridCol w:w="284"/>
        <w:gridCol w:w="707"/>
        <w:gridCol w:w="3806"/>
        <w:gridCol w:w="1535"/>
        <w:gridCol w:w="1535"/>
        <w:gridCol w:w="1497"/>
        <w:gridCol w:w="1460"/>
        <w:gridCol w:w="1460"/>
        <w:gridCol w:w="1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1" w:hRule="atLeast"/>
        </w:trPr>
        <w:tc>
          <w:tcPr>
            <w:tcW w:w="284"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bookmarkStart w:id="0" w:name="RANGE!A1:F16"/>
          </w:p>
        </w:tc>
        <w:tc>
          <w:tcPr>
            <w:tcW w:w="284"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707"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3806"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53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53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497"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460"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2932" w:type="dxa"/>
            <w:gridSpan w:val="2"/>
            <w:tcBorders>
              <w:top w:val="nil"/>
              <w:left w:val="nil"/>
              <w:bottom w:val="nil"/>
              <w:right w:val="nil"/>
              <w:tl2br w:val="nil"/>
              <w:tr2bl w:val="nil"/>
            </w:tcBorders>
            <w:shd w:val="clear" w:color="auto" w:fill="FFFFFF"/>
            <w:vAlign w:val="center"/>
          </w:tcPr>
          <w:p>
            <w:pPr>
              <w:widowControl/>
              <w:spacing w:beforeLines="0" w:afterLines="0"/>
              <w:ind w:firstLine="1800" w:firstLineChars="9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1" w:hRule="atLeast"/>
        </w:trPr>
        <w:tc>
          <w:tcPr>
            <w:tcW w:w="5081" w:type="dxa"/>
            <w:gridSpan w:val="4"/>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r>
              <w:rPr>
                <w:rFonts w:hint="eastAsia" w:ascii="宋体" w:hAnsi="宋体" w:cs="宋体"/>
                <w:color w:val="000000"/>
                <w:sz w:val="20"/>
                <w:szCs w:val="20"/>
              </w:rPr>
              <w:t>单位：湖南省网络商品交易监测中心</w:t>
            </w:r>
          </w:p>
        </w:tc>
        <w:tc>
          <w:tcPr>
            <w:tcW w:w="153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535"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497"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460"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2932" w:type="dxa"/>
            <w:gridSpan w:val="2"/>
            <w:tcBorders>
              <w:top w:val="nil"/>
              <w:left w:val="nil"/>
              <w:bottom w:val="nil"/>
              <w:right w:val="nil"/>
              <w:tl2br w:val="nil"/>
              <w:tr2bl w:val="nil"/>
            </w:tcBorders>
            <w:shd w:val="clear" w:color="auto" w:fill="FFFFFF"/>
            <w:vAlign w:val="center"/>
          </w:tcPr>
          <w:p>
            <w:pPr>
              <w:widowControl/>
              <w:spacing w:beforeLines="0" w:afterLines="0"/>
              <w:ind w:firstLine="1800" w:firstLineChars="900"/>
              <w:jc w:val="left"/>
              <w:textAlignment w:val="bottom"/>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5081"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1535"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本年支出合计</w:t>
            </w:r>
          </w:p>
        </w:tc>
        <w:tc>
          <w:tcPr>
            <w:tcW w:w="1535"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基本支出</w:t>
            </w:r>
          </w:p>
        </w:tc>
        <w:tc>
          <w:tcPr>
            <w:tcW w:w="1497"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项目支出</w:t>
            </w:r>
          </w:p>
        </w:tc>
        <w:tc>
          <w:tcPr>
            <w:tcW w:w="146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上缴上级支出</w:t>
            </w:r>
          </w:p>
        </w:tc>
        <w:tc>
          <w:tcPr>
            <w:tcW w:w="146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经营支出</w:t>
            </w:r>
          </w:p>
        </w:tc>
        <w:tc>
          <w:tcPr>
            <w:tcW w:w="14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75" w:type="dxa"/>
            <w:gridSpan w:val="3"/>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功能分类科目编码</w:t>
            </w:r>
          </w:p>
        </w:tc>
        <w:tc>
          <w:tcPr>
            <w:tcW w:w="380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科目名称</w:t>
            </w: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97"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75"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380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97"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5" w:hRule="atLeast"/>
        </w:trPr>
        <w:tc>
          <w:tcPr>
            <w:tcW w:w="1275"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380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535"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97"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6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4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5081"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w:t>
            </w: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5081"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合计</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741.53</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698.93</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42.60</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b/>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457.24</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42.60</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市场监督管理事务</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457.24</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42.60</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2013805</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市场秩序执法</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19.62</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19.62</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2013850</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事业运行</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2013899</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22.98</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22.98</w:t>
            </w: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教育支出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进修及培训</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2050803</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培训支出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192.95</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192.95</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2080502</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事业单位离退休</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156.96</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156.96</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35.99</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35.99</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2080801</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死亡抚恤</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2089999</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2101102</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事业单位医疗</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trPr>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380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住房公积金</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535"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4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60"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c>
          <w:tcPr>
            <w:tcW w:w="14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p>
        </w:tc>
      </w:tr>
    </w:tbl>
    <w:p>
      <w:pPr>
        <w:widowControl/>
        <w:tabs>
          <w:tab w:val="left" w:pos="3595"/>
          <w:tab w:val="left" w:pos="4031"/>
          <w:tab w:val="left" w:pos="5605"/>
          <w:tab w:val="left" w:pos="9152"/>
          <w:tab w:val="left" w:pos="9587"/>
          <w:tab w:val="left" w:pos="11160"/>
          <w:tab w:val="left" w:pos="12554"/>
          <w:tab w:val="left" w:pos="13948"/>
        </w:tabs>
        <w:jc w:val="both"/>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注：本表反映部门本年度各项支出情况。</w:t>
      </w:r>
    </w:p>
    <w:p>
      <w:pP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br w:type="page"/>
      </w: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财政拨款收入支出决算总表</w:t>
      </w:r>
    </w:p>
    <w:tbl>
      <w:tblPr>
        <w:tblStyle w:val="13"/>
        <w:tblW w:w="14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51"/>
        <w:gridCol w:w="502"/>
        <w:gridCol w:w="1372"/>
        <w:gridCol w:w="3538"/>
        <w:gridCol w:w="502"/>
        <w:gridCol w:w="1084"/>
        <w:gridCol w:w="1372"/>
        <w:gridCol w:w="1156"/>
        <w:gridCol w:w="1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0" w:hRule="atLeast"/>
        </w:trPr>
        <w:tc>
          <w:tcPr>
            <w:tcW w:w="3251"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r>
              <w:rPr>
                <w:rFonts w:ascii="Times New Roman" w:hAnsi="Times New Roman" w:eastAsia="仿宋_GB2312" w:cs="Times New Roman"/>
                <w:color w:val="000000"/>
                <w:kern w:val="0"/>
                <w:sz w:val="20"/>
                <w:szCs w:val="20"/>
              </w:rPr>
              <w:t xml:space="preserve">                                                                                                                </w:t>
            </w:r>
          </w:p>
        </w:tc>
        <w:tc>
          <w:tcPr>
            <w:tcW w:w="502"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372"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3538"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502"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084" w:type="dxa"/>
            <w:tcBorders>
              <w:top w:val="nil"/>
              <w:left w:val="nil"/>
              <w:bottom w:val="nil"/>
              <w:right w:val="nil"/>
              <w:tl2br w:val="nil"/>
              <w:tr2bl w:val="nil"/>
            </w:tcBorders>
            <w:shd w:val="clear" w:color="auto" w:fill="FFFFFF"/>
            <w:vAlign w:val="center"/>
          </w:tcPr>
          <w:p>
            <w:pPr>
              <w:spacing w:beforeLines="0" w:afterLines="0"/>
              <w:rPr>
                <w:rFonts w:hint="eastAsia" w:ascii="宋体" w:hAnsi="宋体" w:cs="宋体"/>
                <w:color w:val="000000"/>
                <w:sz w:val="22"/>
                <w:szCs w:val="22"/>
              </w:rPr>
            </w:pPr>
          </w:p>
        </w:tc>
        <w:tc>
          <w:tcPr>
            <w:tcW w:w="1372" w:type="dxa"/>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eastAsiaTheme="minorEastAsia"/>
                <w:color w:val="000000"/>
                <w:sz w:val="22"/>
                <w:szCs w:val="22"/>
                <w:lang w:val="en-US" w:eastAsia="zh-CN"/>
              </w:rPr>
            </w:pPr>
            <w:r>
              <w:rPr>
                <w:rFonts w:hint="eastAsia" w:ascii="宋体" w:hAnsi="宋体" w:cs="宋体"/>
                <w:color w:val="000000"/>
                <w:sz w:val="22"/>
                <w:szCs w:val="22"/>
                <w:lang w:val="en-US" w:eastAsia="zh-CN"/>
              </w:rPr>
              <w:t xml:space="preserve">  </w:t>
            </w:r>
          </w:p>
        </w:tc>
        <w:tc>
          <w:tcPr>
            <w:tcW w:w="2379" w:type="dxa"/>
            <w:gridSpan w:val="2"/>
            <w:tcBorders>
              <w:top w:val="nil"/>
              <w:left w:val="nil"/>
              <w:bottom w:val="nil"/>
              <w:right w:val="nil"/>
              <w:tl2br w:val="nil"/>
              <w:tr2bl w:val="nil"/>
            </w:tcBorders>
            <w:shd w:val="clear" w:color="auto" w:fill="FFFFFF"/>
            <w:vAlign w:val="center"/>
          </w:tcPr>
          <w:p>
            <w:pPr>
              <w:widowControl/>
              <w:spacing w:beforeLines="0" w:afterLines="0"/>
              <w:ind w:firstLine="1200" w:firstLineChars="6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0" w:hRule="atLeast"/>
        </w:trPr>
        <w:tc>
          <w:tcPr>
            <w:tcW w:w="11621" w:type="dxa"/>
            <w:gridSpan w:val="7"/>
            <w:tcBorders>
              <w:top w:val="nil"/>
              <w:left w:val="nil"/>
              <w:bottom w:val="nil"/>
              <w:right w:val="nil"/>
              <w:tl2br w:val="nil"/>
              <w:tr2bl w:val="nil"/>
            </w:tcBorders>
            <w:shd w:val="clear" w:color="auto" w:fill="FFFFFF"/>
            <w:vAlign w:val="bottom"/>
          </w:tcPr>
          <w:p>
            <w:pPr>
              <w:widowControl/>
              <w:spacing w:beforeLines="0" w:afterLines="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单位：湖南省网络商品交易监测中心</w:t>
            </w:r>
          </w:p>
        </w:tc>
        <w:tc>
          <w:tcPr>
            <w:tcW w:w="2379" w:type="dxa"/>
            <w:gridSpan w:val="2"/>
            <w:tcBorders>
              <w:top w:val="nil"/>
              <w:left w:val="nil"/>
              <w:bottom w:val="nil"/>
              <w:right w:val="nil"/>
              <w:tl2br w:val="nil"/>
              <w:tr2bl w:val="nil"/>
            </w:tcBorders>
            <w:shd w:val="clear" w:color="auto" w:fill="FFFFFF"/>
            <w:vAlign w:val="center"/>
          </w:tcPr>
          <w:p>
            <w:pPr>
              <w:widowControl/>
              <w:spacing w:beforeLines="0" w:afterLines="0"/>
              <w:ind w:firstLine="1200" w:firstLineChars="600"/>
              <w:jc w:val="left"/>
              <w:textAlignment w:val="bottom"/>
              <w:rPr>
                <w:rFonts w:hint="eastAsia" w:ascii="宋体" w:hAnsi="宋体" w:cs="宋体"/>
                <w:color w:val="000000"/>
                <w:sz w:val="20"/>
                <w:szCs w:val="20"/>
              </w:rPr>
            </w:pPr>
            <w:r>
              <w:rPr>
                <w:rFonts w:hint="eastAsia" w:ascii="宋体" w:hAnsi="宋体" w:cs="宋体"/>
                <w:color w:val="000000"/>
                <w:kern w:val="0"/>
                <w:sz w:val="20"/>
                <w:szCs w:val="20"/>
                <w:lang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512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收     入</w:t>
            </w:r>
          </w:p>
        </w:tc>
        <w:tc>
          <w:tcPr>
            <w:tcW w:w="8875" w:type="dxa"/>
            <w:gridSpan w:val="6"/>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3251"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50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行次</w:t>
            </w:r>
          </w:p>
        </w:tc>
        <w:tc>
          <w:tcPr>
            <w:tcW w:w="13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金额</w:t>
            </w:r>
          </w:p>
        </w:tc>
        <w:tc>
          <w:tcPr>
            <w:tcW w:w="3538"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项目</w:t>
            </w:r>
          </w:p>
        </w:tc>
        <w:tc>
          <w:tcPr>
            <w:tcW w:w="50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行次</w:t>
            </w:r>
          </w:p>
        </w:tc>
        <w:tc>
          <w:tcPr>
            <w:tcW w:w="1084"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合计</w:t>
            </w:r>
          </w:p>
        </w:tc>
        <w:tc>
          <w:tcPr>
            <w:tcW w:w="13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一般公共预算财政拨款</w:t>
            </w:r>
          </w:p>
        </w:tc>
        <w:tc>
          <w:tcPr>
            <w:tcW w:w="115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政府性基金预算财政拨款</w:t>
            </w:r>
          </w:p>
        </w:tc>
        <w:tc>
          <w:tcPr>
            <w:tcW w:w="1223"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7" w:hRule="atLeast"/>
        </w:trPr>
        <w:tc>
          <w:tcPr>
            <w:tcW w:w="3251"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50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3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3538"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50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084"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3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15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c>
          <w:tcPr>
            <w:tcW w:w="1223"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color w:val="000000"/>
                <w:sz w:val="22"/>
                <w:szCs w:val="22"/>
              </w:rPr>
            </w:pP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栏次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color w:val="000000"/>
                <w:sz w:val="22"/>
                <w:szCs w:val="22"/>
              </w:rPr>
            </w:pP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一、一般公共预算财政拨款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717.77</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一、一般公共服务支出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457.24</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457.24</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二、政府性基金预算财政拨款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二、外交支出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34</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三、国有资本经营预算财政拨款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三、国防支出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35</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四、公共安全支出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36</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五、教育支出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37</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六、科学技术支出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38</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七、文化旅游体育与传媒支出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39</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8</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八、社会保障和就业支出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40</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九、卫生健康支出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41</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十、节能环保支出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42</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十一、城乡社区支出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43</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十二、农林水支出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44</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十三、交通运输支出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45</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十四、资源勘探工业信息等支出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46</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十五、商业服务业等支出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十六、金融支出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48</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17</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十七、援助其他地区支出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十八、自然资源海洋气象等支出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50</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十九、住房保障支出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51</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二十、粮油物资储备支出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52</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二十一、国有资本经营预算支出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53</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22</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二十二、灾害防治及应急管理支出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54</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二十三、其他支出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55</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center"/>
              <w:rPr>
                <w:rFonts w:hint="eastAsia" w:ascii="宋体" w:hAnsi="宋体" w:cs="宋体"/>
                <w:b/>
                <w:color w:val="000000"/>
                <w:sz w:val="20"/>
                <w:szCs w:val="20"/>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二十四、债务还本支出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56</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0"/>
                <w:szCs w:val="20"/>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二十五、债务付息支出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57</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0"/>
                <w:szCs w:val="20"/>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二十六、抗疫特别国债安排的支出</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58</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本年收入合计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717.77</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本年支出合计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59</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741.53</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741.53</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年初财政拨款结转和结余</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28</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51.03</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年末财政拨款结转和结余</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60</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27.27</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27.27</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 xml:space="preserve">  一般公共预算财政拨款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29</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51.03</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61</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 xml:space="preserve">  政府性基金预算财政拨款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62</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 xml:space="preserve">  国有资本经营预算财政拨款</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31</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left"/>
              <w:rPr>
                <w:rFonts w:hint="eastAsia" w:ascii="宋体" w:hAnsi="宋体" w:cs="宋体"/>
                <w:color w:val="000000"/>
                <w:sz w:val="22"/>
                <w:szCs w:val="22"/>
              </w:rPr>
            </w:pP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63</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beforeLines="0" w:afterLines="0"/>
              <w:jc w:val="right"/>
              <w:rPr>
                <w:rFonts w:hint="eastAsia"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0" w:hRule="atLeast"/>
        </w:trPr>
        <w:tc>
          <w:tcPr>
            <w:tcW w:w="325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总计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32</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768.80</w:t>
            </w:r>
          </w:p>
        </w:tc>
        <w:tc>
          <w:tcPr>
            <w:tcW w:w="353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总计</w:t>
            </w:r>
          </w:p>
        </w:tc>
        <w:tc>
          <w:tcPr>
            <w:tcW w:w="50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64</w:t>
            </w:r>
          </w:p>
        </w:tc>
        <w:tc>
          <w:tcPr>
            <w:tcW w:w="1084"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768.80</w:t>
            </w:r>
          </w:p>
        </w:tc>
        <w:tc>
          <w:tcPr>
            <w:tcW w:w="137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eastAsia"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768.80</w:t>
            </w:r>
          </w:p>
        </w:tc>
        <w:tc>
          <w:tcPr>
            <w:tcW w:w="11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c>
          <w:tcPr>
            <w:tcW w:w="122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righ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0.00</w:t>
            </w:r>
          </w:p>
        </w:tc>
      </w:tr>
    </w:tbl>
    <w:p>
      <w:pPr>
        <w:widowControl/>
        <w:tabs>
          <w:tab w:val="left" w:pos="3595"/>
          <w:tab w:val="left" w:pos="4031"/>
          <w:tab w:val="left" w:pos="5605"/>
          <w:tab w:val="left" w:pos="9152"/>
          <w:tab w:val="left" w:pos="9587"/>
          <w:tab w:val="left" w:pos="11160"/>
          <w:tab w:val="left" w:pos="12554"/>
          <w:tab w:val="left" w:pos="13948"/>
        </w:tabs>
        <w:jc w:val="both"/>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注：本表反映部门本年度一般公共预算财政拨款、政府性基金预算财政拨款和国有资本经营预算财政拨款的总收支和年末结转结余情况。</w:t>
      </w:r>
    </w:p>
    <w:p>
      <w:pPr>
        <w:widowControl/>
        <w:jc w:val="center"/>
        <w:rPr>
          <w:rFonts w:ascii="Times New Roman" w:hAnsi="Times New Roman" w:eastAsia="方正小标宋_GBK" w:cs="Times New Roman"/>
          <w:kern w:val="0"/>
          <w:sz w:val="36"/>
          <w:szCs w:val="36"/>
        </w:rPr>
      </w:pPr>
    </w:p>
    <w:p>
      <w:pP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br w:type="page"/>
      </w:r>
    </w:p>
    <w:bookmarkEnd w:id="0"/>
    <w:tbl>
      <w:tblPr>
        <w:tblStyle w:val="13"/>
        <w:tblpPr w:leftFromText="180" w:rightFromText="180" w:vertAnchor="text" w:horzAnchor="page" w:tblpX="1250" w:tblpY="-7437"/>
        <w:tblOverlap w:val="never"/>
        <w:tblW w:w="147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6"/>
        <w:gridCol w:w="497"/>
        <w:gridCol w:w="911"/>
        <w:gridCol w:w="169"/>
        <w:gridCol w:w="6176"/>
        <w:gridCol w:w="493"/>
        <w:gridCol w:w="1597"/>
        <w:gridCol w:w="493"/>
        <w:gridCol w:w="1597"/>
        <w:gridCol w:w="2097"/>
        <w:gridCol w:w="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1238" w:hRule="atLeast"/>
        </w:trPr>
        <w:tc>
          <w:tcPr>
            <w:tcW w:w="14266" w:type="dxa"/>
            <w:gridSpan w:val="10"/>
            <w:tcBorders>
              <w:top w:val="nil"/>
              <w:left w:val="nil"/>
              <w:bottom w:val="nil"/>
              <w:right w:val="nil"/>
              <w:tl2br w:val="nil"/>
              <w:tr2bl w:val="nil"/>
            </w:tcBorders>
            <w:shd w:val="clear" w:color="auto" w:fill="FFFFFF"/>
            <w:vAlign w:val="center"/>
          </w:tcPr>
          <w:p>
            <w:pPr>
              <w:widowControl/>
              <w:spacing w:beforeLines="0" w:afterLines="0"/>
              <w:jc w:val="center"/>
              <w:textAlignment w:val="center"/>
              <w:rPr>
                <w:rFonts w:hint="eastAsia" w:ascii="黑体" w:hAnsi="宋体" w:eastAsia="黑体" w:cs="黑体"/>
                <w:color w:val="000000"/>
                <w:kern w:val="0"/>
                <w:sz w:val="30"/>
                <w:szCs w:val="30"/>
                <w:lang w:bidi="ar"/>
              </w:rPr>
            </w:pPr>
          </w:p>
          <w:p>
            <w:pPr>
              <w:widowControl/>
              <w:spacing w:beforeLines="0" w:afterLines="0"/>
              <w:jc w:val="center"/>
              <w:textAlignment w:val="center"/>
              <w:rPr>
                <w:rFonts w:hint="eastAsia" w:ascii="黑体" w:hAnsi="宋体" w:eastAsia="黑体" w:cs="黑体"/>
                <w:color w:val="000000"/>
                <w:sz w:val="30"/>
                <w:szCs w:val="30"/>
              </w:rPr>
            </w:pPr>
            <w:r>
              <w:rPr>
                <w:rFonts w:hint="eastAsia" w:ascii="Times New Roman" w:hAnsi="Times New Roman" w:eastAsia="黑体" w:cs="Times New Roman"/>
                <w:color w:val="000000"/>
                <w:kern w:val="0"/>
                <w:sz w:val="36"/>
                <w:szCs w:val="36"/>
                <w:lang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0" w:hRule="atLeast"/>
        </w:trPr>
        <w:tc>
          <w:tcPr>
            <w:tcW w:w="236" w:type="dxa"/>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color w:val="000000"/>
                <w:sz w:val="22"/>
                <w:szCs w:val="22"/>
              </w:rPr>
            </w:pPr>
          </w:p>
        </w:tc>
        <w:tc>
          <w:tcPr>
            <w:tcW w:w="497" w:type="dxa"/>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color w:val="000000"/>
                <w:sz w:val="22"/>
                <w:szCs w:val="22"/>
              </w:rPr>
            </w:pPr>
          </w:p>
        </w:tc>
        <w:tc>
          <w:tcPr>
            <w:tcW w:w="1080" w:type="dxa"/>
            <w:gridSpan w:val="2"/>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color w:val="000000"/>
                <w:sz w:val="22"/>
                <w:szCs w:val="22"/>
              </w:rPr>
            </w:pPr>
          </w:p>
        </w:tc>
        <w:tc>
          <w:tcPr>
            <w:tcW w:w="6669" w:type="dxa"/>
            <w:gridSpan w:val="2"/>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color w:val="000000"/>
                <w:sz w:val="22"/>
                <w:szCs w:val="22"/>
              </w:rPr>
            </w:pPr>
          </w:p>
        </w:tc>
        <w:tc>
          <w:tcPr>
            <w:tcW w:w="2090" w:type="dxa"/>
            <w:gridSpan w:val="2"/>
            <w:tcBorders>
              <w:top w:val="nil"/>
              <w:left w:val="nil"/>
              <w:bottom w:val="nil"/>
              <w:right w:val="nil"/>
              <w:tl2br w:val="nil"/>
              <w:tr2bl w:val="nil"/>
            </w:tcBorders>
            <w:shd w:val="clear" w:color="auto" w:fill="FFFFFF"/>
            <w:vAlign w:val="center"/>
          </w:tcPr>
          <w:p>
            <w:pPr>
              <w:spacing w:beforeLines="0" w:afterLines="0"/>
              <w:rPr>
                <w:rFonts w:hint="default" w:ascii="宋体" w:hAnsi="宋体" w:cs="宋体"/>
                <w:color w:val="000000"/>
                <w:sz w:val="22"/>
                <w:szCs w:val="22"/>
              </w:rPr>
            </w:pPr>
          </w:p>
        </w:tc>
        <w:tc>
          <w:tcPr>
            <w:tcW w:w="4187" w:type="dxa"/>
            <w:gridSpan w:val="3"/>
            <w:tcBorders>
              <w:top w:val="nil"/>
              <w:left w:val="nil"/>
              <w:bottom w:val="nil"/>
              <w:right w:val="nil"/>
              <w:tl2br w:val="nil"/>
              <w:tr2bl w:val="nil"/>
            </w:tcBorders>
            <w:shd w:val="clear" w:color="auto" w:fill="FFFFFF"/>
            <w:vAlign w:val="center"/>
          </w:tcPr>
          <w:p>
            <w:pPr>
              <w:widowControl/>
              <w:spacing w:beforeLines="0" w:afterLines="0"/>
              <w:ind w:firstLine="2600" w:firstLineChars="1300"/>
              <w:jc w:val="left"/>
              <w:textAlignment w:val="bottom"/>
              <w:rPr>
                <w:rFonts w:hint="default" w:ascii="宋体" w:hAnsi="宋体" w:cs="宋体"/>
                <w:color w:val="000000"/>
                <w:sz w:val="20"/>
                <w:szCs w:val="20"/>
              </w:rPr>
            </w:pPr>
            <w:r>
              <w:rPr>
                <w:rFonts w:hint="default" w:ascii="宋体" w:hAnsi="宋体" w:cs="宋体"/>
                <w:color w:val="000000"/>
                <w:kern w:val="0"/>
                <w:sz w:val="20"/>
                <w:szCs w:val="20"/>
                <w:lang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10" w:hRule="atLeast"/>
        </w:trPr>
        <w:tc>
          <w:tcPr>
            <w:tcW w:w="10079" w:type="dxa"/>
            <w:gridSpan w:val="7"/>
            <w:tcBorders>
              <w:top w:val="nil"/>
              <w:left w:val="nil"/>
              <w:bottom w:val="nil"/>
              <w:right w:val="nil"/>
              <w:tl2br w:val="nil"/>
              <w:tr2bl w:val="nil"/>
            </w:tcBorders>
            <w:shd w:val="clear" w:color="auto" w:fill="FFFFFF"/>
            <w:vAlign w:val="bottom"/>
          </w:tcPr>
          <w:p>
            <w:pPr>
              <w:widowControl/>
              <w:spacing w:beforeLines="0" w:afterLines="0"/>
              <w:jc w:val="left"/>
              <w:textAlignment w:val="bottom"/>
              <w:rPr>
                <w:rFonts w:hint="default" w:ascii="宋体" w:hAnsi="宋体" w:cs="宋体"/>
                <w:color w:val="000000"/>
                <w:sz w:val="20"/>
                <w:szCs w:val="20"/>
              </w:rPr>
            </w:pPr>
            <w:r>
              <w:rPr>
                <w:rFonts w:hint="default" w:ascii="宋体" w:hAnsi="宋体" w:cs="宋体"/>
                <w:color w:val="000000"/>
                <w:kern w:val="0"/>
                <w:sz w:val="20"/>
                <w:szCs w:val="20"/>
                <w:lang w:bidi="ar"/>
              </w:rPr>
              <w:t>单位：</w:t>
            </w:r>
            <w:bookmarkStart w:id="1" w:name="OLE_LINK7"/>
            <w:r>
              <w:rPr>
                <w:rFonts w:hint="default" w:ascii="宋体" w:hAnsi="宋体" w:cs="宋体"/>
                <w:color w:val="000000"/>
                <w:kern w:val="0"/>
                <w:sz w:val="20"/>
                <w:szCs w:val="20"/>
                <w:lang w:bidi="ar"/>
              </w:rPr>
              <w:t>湖南省网络商品交易监测中心</w:t>
            </w:r>
            <w:bookmarkEnd w:id="1"/>
          </w:p>
        </w:tc>
        <w:tc>
          <w:tcPr>
            <w:tcW w:w="4187" w:type="dxa"/>
            <w:gridSpan w:val="3"/>
            <w:tcBorders>
              <w:top w:val="nil"/>
              <w:left w:val="nil"/>
              <w:bottom w:val="nil"/>
              <w:right w:val="nil"/>
              <w:tl2br w:val="nil"/>
              <w:tr2bl w:val="nil"/>
            </w:tcBorders>
            <w:shd w:val="clear" w:color="auto" w:fill="FFFFFF"/>
            <w:vAlign w:val="center"/>
          </w:tcPr>
          <w:p>
            <w:pPr>
              <w:widowControl/>
              <w:spacing w:beforeLines="0" w:afterLines="0"/>
              <w:ind w:firstLine="3000" w:firstLineChars="1500"/>
              <w:jc w:val="left"/>
              <w:textAlignment w:val="bottom"/>
              <w:rPr>
                <w:rFonts w:hint="default" w:ascii="宋体" w:hAnsi="宋体" w:cs="宋体"/>
                <w:color w:val="000000"/>
                <w:sz w:val="20"/>
                <w:szCs w:val="20"/>
              </w:rPr>
            </w:pPr>
            <w:r>
              <w:rPr>
                <w:rFonts w:hint="default" w:ascii="宋体" w:hAnsi="宋体" w:cs="宋体"/>
                <w:color w:val="000000"/>
                <w:kern w:val="0"/>
                <w:sz w:val="20"/>
                <w:szCs w:val="20"/>
                <w:lang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60" w:hRule="atLeast"/>
        </w:trPr>
        <w:tc>
          <w:tcPr>
            <w:tcW w:w="7989"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项目</w:t>
            </w:r>
          </w:p>
        </w:tc>
        <w:tc>
          <w:tcPr>
            <w:tcW w:w="6277"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12" w:hRule="atLeast"/>
        </w:trPr>
        <w:tc>
          <w:tcPr>
            <w:tcW w:w="1644" w:type="dxa"/>
            <w:gridSpan w:val="3"/>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功能分类科目编码</w:t>
            </w:r>
          </w:p>
        </w:tc>
        <w:tc>
          <w:tcPr>
            <w:tcW w:w="634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科目名称</w:t>
            </w:r>
          </w:p>
        </w:tc>
        <w:tc>
          <w:tcPr>
            <w:tcW w:w="2090"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小计</w:t>
            </w:r>
          </w:p>
        </w:tc>
        <w:tc>
          <w:tcPr>
            <w:tcW w:w="2090"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基本支出</w:t>
            </w:r>
          </w:p>
        </w:tc>
        <w:tc>
          <w:tcPr>
            <w:tcW w:w="2097"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12" w:hRule="atLeast"/>
        </w:trPr>
        <w:tc>
          <w:tcPr>
            <w:tcW w:w="1644"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634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0"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0"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7"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12" w:hRule="atLeast"/>
        </w:trPr>
        <w:tc>
          <w:tcPr>
            <w:tcW w:w="1644"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634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0"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0"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c>
          <w:tcPr>
            <w:tcW w:w="2097"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vAlign w:val="center"/>
          </w:tcPr>
          <w:p>
            <w:pPr>
              <w:spacing w:beforeLines="0" w:afterLines="0"/>
              <w:jc w:val="center"/>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7989"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栏次</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1</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2</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7989" w:type="dxa"/>
            <w:gridSpan w:val="5"/>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合计</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b/>
                <w:color w:val="000000"/>
                <w:sz w:val="22"/>
                <w:szCs w:val="22"/>
              </w:rPr>
            </w:pPr>
            <w:r>
              <w:rPr>
                <w:rFonts w:hint="eastAsia" w:ascii="宋体" w:hAnsi="宋体" w:eastAsia="宋体" w:cs="宋体"/>
                <w:b/>
                <w:bCs/>
                <w:i w:val="0"/>
                <w:iCs w:val="0"/>
                <w:color w:val="000000"/>
                <w:kern w:val="0"/>
                <w:sz w:val="22"/>
                <w:szCs w:val="22"/>
                <w:u w:val="none"/>
                <w:lang w:val="en-US" w:eastAsia="zh-CN" w:bidi="ar"/>
              </w:rPr>
              <w:t>741.53</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b/>
                <w:color w:val="000000"/>
                <w:sz w:val="22"/>
                <w:szCs w:val="22"/>
              </w:rPr>
            </w:pPr>
            <w:r>
              <w:rPr>
                <w:rFonts w:hint="eastAsia" w:ascii="宋体" w:hAnsi="宋体" w:eastAsia="宋体" w:cs="宋体"/>
                <w:b/>
                <w:bCs/>
                <w:i w:val="0"/>
                <w:iCs w:val="0"/>
                <w:color w:val="000000"/>
                <w:kern w:val="0"/>
                <w:sz w:val="22"/>
                <w:szCs w:val="22"/>
                <w:u w:val="none"/>
                <w:lang w:val="en-US" w:eastAsia="zh-CN" w:bidi="ar"/>
              </w:rPr>
              <w:t>698.93</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b/>
                <w:color w:val="000000"/>
                <w:sz w:val="22"/>
                <w:szCs w:val="22"/>
              </w:rPr>
            </w:pPr>
            <w:r>
              <w:rPr>
                <w:rFonts w:hint="eastAsia" w:ascii="宋体" w:hAnsi="宋体" w:eastAsia="宋体" w:cs="宋体"/>
                <w:b/>
                <w:bCs/>
                <w:i w:val="0"/>
                <w:iCs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457.24</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市场监督管理事务</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457.24</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2013805</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市场秩序执法</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19.62</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2013850</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事业运行</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414.64</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2013899</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22.98</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教育支出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进修及培训</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2050803</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培训支出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222.29</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192.95</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192.95</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2080502</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事业单位离退休</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156.96</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156.96</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35.99</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35.99</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抚恤</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2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2080801</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死亡抚恤</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24.00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2089999</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5.33</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2101102</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事业单位医疗</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493" w:type="dxa"/>
          <w:trHeight w:val="330" w:hRule="atLeast"/>
        </w:trPr>
        <w:tc>
          <w:tcPr>
            <w:tcW w:w="164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63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lef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住房公积金</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widowControl/>
              <w:suppressLineNumbers w:val="0"/>
              <w:jc w:val="right"/>
              <w:textAlignment w:val="center"/>
              <w:rPr>
                <w:rFonts w:hint="default"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38.00</w:t>
            </w:r>
          </w:p>
        </w:tc>
        <w:tc>
          <w:tcPr>
            <w:tcW w:w="209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jc w:val="right"/>
              <w:rPr>
                <w:rFonts w:hint="default" w:ascii="宋体" w:hAnsi="宋体" w:cs="宋体"/>
                <w:color w:val="000000"/>
                <w:sz w:val="22"/>
                <w:szCs w:val="22"/>
              </w:rPr>
            </w:pPr>
          </w:p>
        </w:tc>
      </w:tr>
    </w:tbl>
    <w:p>
      <w:pPr>
        <w:widowControl/>
        <w:tabs>
          <w:tab w:val="left" w:pos="3595"/>
          <w:tab w:val="left" w:pos="4031"/>
          <w:tab w:val="left" w:pos="5605"/>
          <w:tab w:val="left" w:pos="9152"/>
          <w:tab w:val="left" w:pos="9587"/>
          <w:tab w:val="left" w:pos="11160"/>
          <w:tab w:val="left" w:pos="12554"/>
          <w:tab w:val="left" w:pos="13948"/>
        </w:tabs>
        <w:jc w:val="both"/>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注：本表反映部门本年度一般公共预算财政拨款支出情况。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spacing w:after="120"/>
        <w:jc w:val="center"/>
        <w:textAlignment w:val="center"/>
        <w:rPr>
          <w:rFonts w:ascii="Times New Roman" w:hAnsi="Times New Roman" w:eastAsia="黑体" w:cs="Times New Roman"/>
          <w:color w:val="000000"/>
          <w:kern w:val="0"/>
          <w:sz w:val="36"/>
          <w:szCs w:val="36"/>
          <w:lang w:bidi="ar"/>
        </w:rPr>
      </w:pPr>
      <w:bookmarkStart w:id="2" w:name="RANGE!A1:I34"/>
      <w:r>
        <w:rPr>
          <w:rFonts w:ascii="Times New Roman" w:hAnsi="Times New Roman" w:eastAsia="黑体" w:cs="Times New Roman"/>
          <w:color w:val="000000"/>
          <w:kern w:val="0"/>
          <w:sz w:val="36"/>
          <w:szCs w:val="36"/>
          <w:lang w:bidi="ar"/>
        </w:rPr>
        <w:t>一般公共预算财政拨款基本支出决算明细表</w:t>
      </w:r>
      <w:bookmarkEnd w:id="2"/>
    </w:p>
    <w:p>
      <w:pPr>
        <w:widowControl/>
        <w:wordWrap w:val="0"/>
        <w:spacing w:line="240" w:lineRule="exact"/>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Cs w:val="21"/>
        </w:rPr>
        <w:t>湖南省网络商品交易监测中心</w:t>
      </w:r>
      <w:r>
        <w:rPr>
          <w:rFonts w:ascii="Times New Roman" w:hAnsi="Times New Roman" w:eastAsia="仿宋_GB2312" w:cs="Times New Roman"/>
          <w:color w:val="000000"/>
          <w:kern w:val="0"/>
          <w:szCs w:val="21"/>
        </w:rPr>
        <w:t xml:space="preserve">                                                                                                              公开06表</w:t>
      </w:r>
    </w:p>
    <w:p>
      <w:pPr>
        <w:widowControl/>
        <w:spacing w:line="240" w:lineRule="exact"/>
        <w:jc w:val="right"/>
        <w:rPr>
          <w:rFonts w:ascii="Times New Roman" w:hAnsi="Times New Roman" w:eastAsia="华文中宋" w:cs="Times New Roman"/>
          <w:color w:val="000000"/>
          <w:kern w:val="0"/>
          <w:szCs w:val="32"/>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13"/>
        <w:tblW w:w="14437" w:type="dxa"/>
        <w:jc w:val="center"/>
        <w:tblInd w:w="0" w:type="dxa"/>
        <w:tblLayout w:type="fixed"/>
        <w:tblCellMar>
          <w:top w:w="0" w:type="dxa"/>
          <w:left w:w="108" w:type="dxa"/>
          <w:bottom w:w="0" w:type="dxa"/>
          <w:right w:w="108" w:type="dxa"/>
        </w:tblCellMar>
      </w:tblPr>
      <w:tblGrid>
        <w:gridCol w:w="1067"/>
        <w:gridCol w:w="2813"/>
        <w:gridCol w:w="953"/>
        <w:gridCol w:w="1101"/>
        <w:gridCol w:w="1992"/>
        <w:gridCol w:w="921"/>
        <w:gridCol w:w="1201"/>
        <w:gridCol w:w="3472"/>
        <w:gridCol w:w="917"/>
      </w:tblGrid>
      <w:tr>
        <w:tblPrEx>
          <w:tblLayout w:type="fixed"/>
          <w:tblCellMar>
            <w:top w:w="0" w:type="dxa"/>
            <w:left w:w="108" w:type="dxa"/>
            <w:bottom w:w="0" w:type="dxa"/>
            <w:right w:w="108" w:type="dxa"/>
          </w:tblCellMar>
        </w:tblPrEx>
        <w:trPr>
          <w:trHeight w:val="589" w:hRule="atLeast"/>
          <w:jc w:val="center"/>
        </w:trPr>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 w:val="20"/>
                <w:szCs w:val="20"/>
              </w:rPr>
              <w:t>经济分类科目编码</w:t>
            </w:r>
          </w:p>
        </w:tc>
        <w:tc>
          <w:tcPr>
            <w:tcW w:w="281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5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101"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199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21"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201"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347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工资福利支出</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405.04</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商品和服务支出</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112.88</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债务利息及费用支出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30101</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基本工资</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100.05</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30201</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10.51</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30701</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国内债务付息</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30102</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津贴补贴</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15.85</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30202</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印刷费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3.96</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30702</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国外债务付息</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30103</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奖金</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30203</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咨询费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资本性支出</w:t>
            </w:r>
          </w:p>
        </w:tc>
        <w:tc>
          <w:tcPr>
            <w:tcW w:w="91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0.05</w:t>
            </w: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30106</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伙食补助费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15.23</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30204</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手续费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31001</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房屋建筑物购建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30107</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绩效工资</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168.70</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30205</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水费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31002</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办公设备购置</w:t>
            </w:r>
          </w:p>
        </w:tc>
        <w:tc>
          <w:tcPr>
            <w:tcW w:w="91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0.05</w:t>
            </w: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30108</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机关事业单位基本养老保险缴费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36.57</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30206</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电费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31003</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专用设备购置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30109</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职业年金缴费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30207</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邮电费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2.19</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31005</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基础设施建设</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30110</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职工基本医疗保险缴费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25.21</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30208</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取暖费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31006</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大型修缮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30111</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公务员医疗补助缴费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30209</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物业管理费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31007</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信息网络及软件购置更新</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30112</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其他社会保障缴费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5.33</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30211</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差旅费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5.65</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31008</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物资储备</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30113</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住房公积金</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38.09</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30212</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因公出国（境）费用</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土地补偿</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30114</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30213</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维修（护）费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2.86</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31010</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安置补助</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30199</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其他工资福利支出</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30214</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租赁费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31011</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地上附着物和青苗补偿</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对个人和家庭的补助</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180.96</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30215</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会议费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31012</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拆迁补偿</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30301</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离休费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33.42</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30216</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培训费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9.33</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31013</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公务用车购置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30302</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退休费</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77.42</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30217</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公务接待费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0.11</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其他交通工具购置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30303</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退职（役）费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30218</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专用材料费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31021</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文物和陈列品购置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30304</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抚恤金</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27.42</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30224</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被装购置费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31022</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无形资产购置</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30305</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生活补助</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2.35</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30225</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专用燃料费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31099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其他资本性支出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30306</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救济费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30226</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劳务费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10.84</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30307</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医疗费补助</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8.49</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30227</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委托业务费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32.65</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39907</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国家赔偿费用支出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30308</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助学金</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30228</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工会经费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7.60</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39908</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对民间非营利组织和群众性自治组织补贴</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30309</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奖励金</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30229</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福利费</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经常性赠与</w:t>
            </w:r>
          </w:p>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p>
            <w:pPr>
              <w:widowControl/>
              <w:jc w:val="left"/>
              <w:rPr>
                <w:rFonts w:ascii="Times New Roman" w:hAnsi="Times New Roman" w:eastAsia="仿宋_GB2312" w:cs="Times New Roman"/>
                <w:color w:val="000000"/>
                <w:kern w:val="0"/>
                <w:szCs w:val="20"/>
              </w:rPr>
            </w:pPr>
          </w:p>
          <w:tbl>
            <w:tblPr>
              <w:tblStyle w:val="13"/>
              <w:tblW w:w="3946" w:type="dxa"/>
              <w:tblInd w:w="0" w:type="dxa"/>
              <w:tblLayout w:type="fixed"/>
              <w:tblCellMar>
                <w:top w:w="0" w:type="dxa"/>
                <w:left w:w="108" w:type="dxa"/>
                <w:bottom w:w="0" w:type="dxa"/>
                <w:right w:w="108" w:type="dxa"/>
              </w:tblCellMar>
            </w:tblPr>
            <w:tblGrid>
              <w:gridCol w:w="3946"/>
            </w:tblGrid>
            <w:tr>
              <w:tblPrEx>
                <w:tblLayout w:type="fixed"/>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经常性赠与</w:t>
                  </w:r>
                </w:p>
              </w:tc>
            </w:tr>
            <w:tr>
              <w:tblPrEx>
                <w:tblLayout w:type="fixed"/>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资本性赠与</w:t>
                  </w:r>
                </w:p>
              </w:tc>
            </w:tr>
          </w:tbl>
          <w:p>
            <w:pPr>
              <w:widowControl/>
              <w:jc w:val="left"/>
              <w:rPr>
                <w:rFonts w:ascii="Times New Roman" w:hAnsi="Times New Roman" w:eastAsia="仿宋_GB2312" w:cs="Times New Roman"/>
                <w:color w:val="000000"/>
                <w:kern w:val="0"/>
                <w:szCs w:val="20"/>
              </w:rPr>
            </w:pPr>
          </w:p>
          <w:tbl>
            <w:tblPr>
              <w:tblStyle w:val="13"/>
              <w:tblW w:w="3946" w:type="dxa"/>
              <w:tblInd w:w="0" w:type="dxa"/>
              <w:tblLayout w:type="fixed"/>
              <w:tblCellMar>
                <w:top w:w="0" w:type="dxa"/>
                <w:left w:w="108" w:type="dxa"/>
                <w:bottom w:w="0" w:type="dxa"/>
                <w:right w:w="108" w:type="dxa"/>
              </w:tblCellMar>
            </w:tblPr>
            <w:tblGrid>
              <w:gridCol w:w="3946"/>
            </w:tblGrid>
            <w:tr>
              <w:tblPrEx>
                <w:tblLayout w:type="fixed"/>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经常性赠与</w:t>
                  </w:r>
                </w:p>
              </w:tc>
            </w:tr>
            <w:tr>
              <w:tblPrEx>
                <w:tblLayout w:type="fixed"/>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资本性赠与</w:t>
                  </w:r>
                </w:p>
              </w:tc>
            </w:tr>
          </w:tbl>
          <w:p>
            <w:pPr>
              <w:widowControl/>
              <w:jc w:val="left"/>
              <w:rPr>
                <w:rFonts w:ascii="Times New Roman" w:hAnsi="Times New Roman" w:eastAsia="仿宋_GB2312" w:cs="Times New Roman"/>
                <w:color w:val="000000"/>
                <w:kern w:val="0"/>
                <w:szCs w:val="20"/>
              </w:rPr>
            </w:pP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30310</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个人农业生产补贴</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30231</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公务用车运行维护费</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3.61</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39910</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30311</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代缴社会保险费</w:t>
            </w:r>
          </w:p>
        </w:tc>
        <w:tc>
          <w:tcPr>
            <w:tcW w:w="953"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30239</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其他交通费用</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1.67</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39999</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其他支出</w:t>
            </w:r>
          </w:p>
        </w:tc>
        <w:tc>
          <w:tcPr>
            <w:tcW w:w="917"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30399</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其他对个人和家庭的补助</w:t>
            </w:r>
          </w:p>
        </w:tc>
        <w:tc>
          <w:tcPr>
            <w:tcW w:w="95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31.87</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30240</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税金及附加费用</w:t>
            </w:r>
          </w:p>
        </w:tc>
        <w:tc>
          <w:tcPr>
            <w:tcW w:w="921"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color w:val="000000"/>
                <w:kern w:val="0"/>
                <w:szCs w:val="20"/>
              </w:rPr>
            </w:pP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1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Layout w:type="fixed"/>
          <w:tblCellMar>
            <w:top w:w="0" w:type="dxa"/>
            <w:left w:w="108" w:type="dxa"/>
            <w:bottom w:w="0" w:type="dxa"/>
            <w:right w:w="108" w:type="dxa"/>
          </w:tblCellMar>
        </w:tblPrEx>
        <w:trPr>
          <w:trHeight w:val="246" w:hRule="exact"/>
          <w:jc w:val="center"/>
        </w:trPr>
        <w:tc>
          <w:tcPr>
            <w:tcW w:w="10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281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953"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30299</w:t>
            </w:r>
          </w:p>
        </w:tc>
        <w:tc>
          <w:tcPr>
            <w:tcW w:w="19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其他商品和服务支出</w:t>
            </w:r>
          </w:p>
        </w:tc>
        <w:tc>
          <w:tcPr>
            <w:tcW w:w="92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21.91</w:t>
            </w:r>
          </w:p>
        </w:tc>
        <w:tc>
          <w:tcPr>
            <w:tcW w:w="120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47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1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Layout w:type="fixed"/>
          <w:tblCellMar>
            <w:top w:w="0" w:type="dxa"/>
            <w:left w:w="108" w:type="dxa"/>
            <w:bottom w:w="0" w:type="dxa"/>
            <w:right w:w="108" w:type="dxa"/>
          </w:tblCellMar>
        </w:tblPrEx>
        <w:trPr>
          <w:trHeight w:val="256" w:hRule="exact"/>
          <w:jc w:val="center"/>
        </w:trPr>
        <w:tc>
          <w:tcPr>
            <w:tcW w:w="38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人员经费合计</w:t>
            </w:r>
          </w:p>
        </w:tc>
        <w:tc>
          <w:tcPr>
            <w:tcW w:w="953"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000000"/>
                <w:kern w:val="0"/>
                <w:szCs w:val="20"/>
              </w:rPr>
            </w:pPr>
            <w:r>
              <w:rPr>
                <w:rFonts w:hint="eastAsia" w:ascii="Times New Roman" w:hAnsi="Times New Roman" w:eastAsia="仿宋_GB2312" w:cs="Times New Roman"/>
                <w:color w:val="000000"/>
                <w:kern w:val="0"/>
                <w:szCs w:val="20"/>
              </w:rPr>
              <w:t>586.00</w:t>
            </w:r>
          </w:p>
        </w:tc>
        <w:tc>
          <w:tcPr>
            <w:tcW w:w="8687"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公用经费合计</w:t>
            </w:r>
          </w:p>
        </w:tc>
        <w:tc>
          <w:tcPr>
            <w:tcW w:w="91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000000"/>
                <w:kern w:val="0"/>
                <w:szCs w:val="18"/>
              </w:rPr>
            </w:pPr>
            <w:r>
              <w:rPr>
                <w:rFonts w:hint="eastAsia" w:ascii="Times New Roman" w:hAnsi="Times New Roman" w:eastAsia="仿宋_GB2312" w:cs="Times New Roman"/>
                <w:color w:val="000000"/>
                <w:kern w:val="0"/>
                <w:szCs w:val="18"/>
              </w:rPr>
              <w:t>112.93</w:t>
            </w:r>
          </w:p>
        </w:tc>
      </w:tr>
    </w:tbl>
    <w:p>
      <w:pPr>
        <w:widowControl/>
        <w:jc w:val="left"/>
        <w:rPr>
          <w:rFonts w:ascii="Times New Roman" w:hAnsi="Times New Roman" w:eastAsia="仿宋_GB2312" w:cs="Times New Roman"/>
          <w:color w:val="000000"/>
          <w:kern w:val="0"/>
          <w:szCs w:val="24"/>
        </w:rPr>
      </w:pPr>
      <w:r>
        <w:rPr>
          <w:rFonts w:ascii="Times New Roman" w:hAnsi="Times New Roman" w:eastAsia="仿宋_GB2312" w:cs="Times New Roman"/>
          <w:color w:val="000000"/>
          <w:kern w:val="0"/>
          <w:szCs w:val="24"/>
        </w:rPr>
        <w:t>注：本表反映部门本年度一般公共预算财政拨款基本支出明细情况。</w:t>
      </w:r>
    </w:p>
    <w:p>
      <w:pPr>
        <w:widowControl/>
        <w:spacing w:line="400" w:lineRule="exact"/>
        <w:jc w:val="center"/>
        <w:textAlignment w:val="center"/>
        <w:rPr>
          <w:rFonts w:ascii="Times New Roman" w:hAnsi="Times New Roman" w:eastAsia="仿宋_GB2312"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政府性基金预算财政拨款收入支出决算表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公开07表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bidi="ar"/>
        </w:rPr>
        <w:t>湖南省网络商品交易监测中心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单位：万元</w:t>
      </w:r>
    </w:p>
    <w:tbl>
      <w:tblPr>
        <w:tblStyle w:val="13"/>
        <w:tblW w:w="14326" w:type="dxa"/>
        <w:jc w:val="center"/>
        <w:tblInd w:w="0" w:type="dxa"/>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tblPrEx>
          <w:tblLayout w:type="fixed"/>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项 </w:t>
            </w:r>
            <w:r>
              <w:rPr>
                <w:rStyle w:val="21"/>
                <w:rFonts w:hint="default" w:ascii="Times New Roman" w:hAnsi="Times New Roman" w:eastAsia="仿宋_GB2312" w:cs="Times New Roman"/>
                <w:b/>
                <w:bCs/>
                <w:lang w:bidi="ar"/>
              </w:rPr>
              <w:t xml:space="preserve">   </w:t>
            </w:r>
            <w:r>
              <w:rPr>
                <w:rStyle w:val="22"/>
                <w:rFonts w:hint="default" w:ascii="Times New Roman" w:hAnsi="Times New Roman" w:eastAsia="仿宋_GB2312" w:cs="Times New Roman"/>
                <w:b/>
                <w:bCs/>
                <w:lang w:bidi="ar"/>
              </w:rPr>
              <w:t>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年末结转和结余</w:t>
            </w:r>
          </w:p>
        </w:tc>
      </w:tr>
      <w:tr>
        <w:tblPrEx>
          <w:tblLayout w:type="fixed"/>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6</w:t>
            </w:r>
          </w:p>
        </w:tc>
      </w:tr>
      <w:tr>
        <w:tblPrEx>
          <w:tblLayout w:type="fixed"/>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bl>
    <w:p>
      <w:pPr>
        <w:widowControl/>
        <w:spacing w:before="120"/>
        <w:jc w:val="left"/>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注：本表反映部门本年度政府性基金预算财政拨款收入、支出及结转和结余情况。</w:t>
      </w:r>
    </w:p>
    <w:p>
      <w:pPr>
        <w:widowControl/>
        <w:spacing w:before="120"/>
        <w:jc w:val="left"/>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说明：我单位没有政府性基金收入，也没有使用政府性基金安排的支出，故本表无数据。</w:t>
      </w:r>
    </w:p>
    <w:p>
      <w:pPr>
        <w:widowControl/>
        <w:jc w:val="center"/>
        <w:rPr>
          <w:rFonts w:ascii="Times New Roman" w:hAnsi="Times New Roman" w:eastAsia="方正小标宋_GBK" w:cs="Times New Roman"/>
          <w:color w:val="000000"/>
          <w:kern w:val="0"/>
          <w:sz w:val="36"/>
          <w:szCs w:val="36"/>
        </w:rPr>
      </w:pPr>
    </w:p>
    <w:p>
      <w:pPr>
        <w:widowControl/>
        <w:spacing w:line="400" w:lineRule="exact"/>
        <w:textAlignment w:val="center"/>
        <w:rPr>
          <w:rFonts w:ascii="Times New Roman" w:hAnsi="Times New Roman" w:eastAsia="黑体" w:cs="Times New Roman"/>
          <w:color w:val="000000"/>
          <w:kern w:val="0"/>
          <w:sz w:val="36"/>
          <w:szCs w:val="36"/>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国有资本经营预算财政拨款支出决算表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w:t>
      </w:r>
      <w:r>
        <w:rPr>
          <w:rFonts w:hint="eastAsia" w:ascii="Times New Roman" w:hAnsi="Times New Roman" w:eastAsia="仿宋_GB2312" w:cs="Times New Roman"/>
          <w:color w:val="000000"/>
          <w:kern w:val="0"/>
          <w:sz w:val="20"/>
          <w:szCs w:val="20"/>
          <w:lang w:val="en-US" w:eastAsia="zh-CN" w:bidi="ar"/>
        </w:rPr>
        <w:t xml:space="preserve">         </w:t>
      </w:r>
      <w:r>
        <w:rPr>
          <w:rFonts w:ascii="Times New Roman" w:hAnsi="Times New Roman" w:eastAsia="仿宋_GB2312" w:cs="Times New Roman"/>
          <w:color w:val="000000"/>
          <w:kern w:val="0"/>
          <w:sz w:val="20"/>
          <w:szCs w:val="20"/>
          <w:lang w:bidi="ar"/>
        </w:rPr>
        <w:t>公开08表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bidi="ar"/>
        </w:rPr>
        <w:t>湖南省网络商品交易监测中心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单位：万元</w:t>
      </w:r>
    </w:p>
    <w:tbl>
      <w:tblPr>
        <w:tblStyle w:val="13"/>
        <w:tblW w:w="14217" w:type="dxa"/>
        <w:tblInd w:w="0" w:type="dxa"/>
        <w:tblLayout w:type="fixed"/>
        <w:tblCellMar>
          <w:top w:w="0" w:type="dxa"/>
          <w:left w:w="108" w:type="dxa"/>
          <w:bottom w:w="0" w:type="dxa"/>
          <w:right w:w="108" w:type="dxa"/>
        </w:tblCellMar>
      </w:tblPr>
      <w:tblGrid>
        <w:gridCol w:w="3094"/>
        <w:gridCol w:w="3097"/>
        <w:gridCol w:w="1832"/>
        <w:gridCol w:w="3097"/>
        <w:gridCol w:w="3097"/>
      </w:tblGrid>
      <w:tr>
        <w:tblPrEx>
          <w:tblLayout w:type="fixed"/>
          <w:tblCellMar>
            <w:top w:w="0" w:type="dxa"/>
            <w:left w:w="108" w:type="dxa"/>
            <w:bottom w:w="0" w:type="dxa"/>
            <w:right w:w="108" w:type="dxa"/>
          </w:tblCellMar>
        </w:tblPrEx>
        <w:trPr>
          <w:trHeight w:val="548" w:hRule="atLeast"/>
        </w:trPr>
        <w:tc>
          <w:tcPr>
            <w:tcW w:w="6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项 </w:t>
            </w:r>
            <w:r>
              <w:rPr>
                <w:rFonts w:ascii="Times New Roman" w:hAnsi="Times New Roman" w:eastAsia="仿宋_GB2312" w:cs="Times New Roman"/>
                <w:b/>
                <w:bCs/>
                <w:color w:val="000000"/>
                <w:kern w:val="0"/>
                <w:sz w:val="22"/>
                <w:lang w:bidi="ar"/>
              </w:rPr>
              <w:t xml:space="preserve">   </w:t>
            </w:r>
            <w:r>
              <w:rPr>
                <w:rStyle w:val="23"/>
                <w:rFonts w:hint="default" w:ascii="Times New Roman" w:hAnsi="Times New Roman" w:eastAsia="仿宋_GB2312" w:cs="Times New Roman"/>
                <w:b/>
                <w:bCs/>
                <w:lang w:bidi="ar"/>
              </w:rPr>
              <w:t>目</w:t>
            </w:r>
          </w:p>
        </w:tc>
        <w:tc>
          <w:tcPr>
            <w:tcW w:w="80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本年支出</w:t>
            </w:r>
          </w:p>
        </w:tc>
      </w:tr>
      <w:tr>
        <w:tblPrEx>
          <w:tblLayout w:type="fixed"/>
          <w:tblCellMar>
            <w:top w:w="0" w:type="dxa"/>
            <w:left w:w="108" w:type="dxa"/>
            <w:bottom w:w="0" w:type="dxa"/>
            <w:right w:w="108" w:type="dxa"/>
          </w:tblCellMar>
        </w:tblPrEx>
        <w:trPr>
          <w:trHeight w:val="312" w:hRule="exact"/>
        </w:trPr>
        <w:tc>
          <w:tcPr>
            <w:tcW w:w="3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科目代码</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科目名称</w:t>
            </w:r>
          </w:p>
        </w:tc>
        <w:tc>
          <w:tcPr>
            <w:tcW w:w="18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合计</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基本支出  </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项目支出</w:t>
            </w:r>
          </w:p>
        </w:tc>
      </w:tr>
      <w:tr>
        <w:tblPrEx>
          <w:tblLayout w:type="fixed"/>
          <w:tblCellMar>
            <w:top w:w="0" w:type="dxa"/>
            <w:left w:w="108" w:type="dxa"/>
            <w:bottom w:w="0" w:type="dxa"/>
            <w:right w:w="108" w:type="dxa"/>
          </w:tblCellMar>
        </w:tblPrEx>
        <w:trPr>
          <w:trHeight w:val="312" w:hRule="exact"/>
        </w:trPr>
        <w:tc>
          <w:tcPr>
            <w:tcW w:w="3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312" w:hRule="atLeast"/>
        </w:trPr>
        <w:tc>
          <w:tcPr>
            <w:tcW w:w="3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6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r>
      <w:tr>
        <w:tblPrEx>
          <w:tblLayout w:type="fixed"/>
          <w:tblCellMar>
            <w:top w:w="0" w:type="dxa"/>
            <w:left w:w="108" w:type="dxa"/>
            <w:bottom w:w="0" w:type="dxa"/>
            <w:right w:w="108" w:type="dxa"/>
          </w:tblCellMar>
        </w:tblPrEx>
        <w:trPr>
          <w:trHeight w:val="548" w:hRule="atLeast"/>
        </w:trPr>
        <w:tc>
          <w:tcPr>
            <w:tcW w:w="6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合计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Layout w:type="fixed"/>
          <w:tblCellMar>
            <w:top w:w="0" w:type="dxa"/>
            <w:left w:w="108" w:type="dxa"/>
            <w:bottom w:w="0" w:type="dxa"/>
            <w:right w:w="108" w:type="dxa"/>
          </w:tblCellMar>
        </w:tblPrEx>
        <w:trPr>
          <w:trHeight w:val="548" w:hRule="atLeast"/>
        </w:trPr>
        <w:tc>
          <w:tcPr>
            <w:tcW w:w="3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bl>
    <w:p>
      <w:pPr>
        <w:widowControl/>
        <w:spacing w:before="120"/>
        <w:jc w:val="left"/>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注：本表反映部门本年度国有资本经营预算财政拨款支出情况。</w:t>
      </w:r>
    </w:p>
    <w:p>
      <w:pPr>
        <w:widowControl/>
        <w:spacing w:before="120"/>
        <w:jc w:val="left"/>
        <w:textAlignment w:val="center"/>
        <w:rPr>
          <w:rFonts w:ascii="Times New Roman" w:hAnsi="Times New Roman" w:eastAsia="仿宋_GB2312" w:cs="Times New Roman"/>
          <w:color w:val="000000"/>
          <w:kern w:val="0"/>
          <w:sz w:val="24"/>
          <w:szCs w:val="24"/>
          <w:lang w:bidi="ar"/>
        </w:rPr>
      </w:pPr>
      <w:r>
        <w:rPr>
          <w:rFonts w:ascii="Times New Roman" w:hAnsi="Times New Roman" w:eastAsia="仿宋_GB2312" w:cs="Times New Roman"/>
          <w:color w:val="000000"/>
          <w:kern w:val="0"/>
          <w:sz w:val="24"/>
          <w:szCs w:val="24"/>
          <w:lang w:bidi="ar"/>
        </w:rPr>
        <w:t>说明：我单位没有使用国有资本经营预算安排的支出，故本表无数据。</w:t>
      </w:r>
    </w:p>
    <w:p>
      <w:pPr>
        <w:widowControl/>
        <w:jc w:val="center"/>
        <w:rPr>
          <w:rFonts w:ascii="Times New Roman" w:hAnsi="Times New Roman" w:eastAsia="方正小标宋_GBK" w:cs="Times New Roman"/>
          <w:color w:val="000000"/>
          <w:kern w:val="0"/>
          <w:sz w:val="36"/>
          <w:szCs w:val="36"/>
        </w:rPr>
      </w:pPr>
    </w:p>
    <w:p>
      <w:pPr>
        <w:pStyle w:val="10"/>
        <w:spacing w:line="400" w:lineRule="exact"/>
        <w:rPr>
          <w:rFonts w:ascii="Times New Roman" w:hAnsi="Times New Roman" w:eastAsia="华文中宋"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财政拨款“三公”经费支出决算表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lang w:bidi="ar"/>
        </w:rPr>
        <w:t>公开09表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both"/>
        <w:textAlignment w:val="center"/>
        <w:rPr>
          <w:rFonts w:ascii="Times New Roman" w:hAnsi="Times New Roman" w:eastAsia="楷体_GB2312" w:cs="Times New Roman"/>
          <w:color w:val="000000"/>
          <w:sz w:val="20"/>
          <w:szCs w:val="20"/>
        </w:rPr>
      </w:pPr>
      <w:r>
        <w:rPr>
          <w:rFonts w:ascii="Times New Roman" w:hAnsi="Times New Roman" w:eastAsia="楷体_GB2312" w:cs="Times New Roman"/>
          <w:color w:val="000000"/>
          <w:kern w:val="0"/>
          <w:sz w:val="20"/>
          <w:szCs w:val="20"/>
          <w:lang w:bidi="ar"/>
        </w:rPr>
        <w:t>部门：</w:t>
      </w:r>
      <w:r>
        <w:rPr>
          <w:rFonts w:hint="eastAsia" w:ascii="Times New Roman" w:hAnsi="Times New Roman" w:eastAsia="楷体_GB2312" w:cs="Times New Roman"/>
          <w:color w:val="000000"/>
          <w:kern w:val="0"/>
          <w:sz w:val="20"/>
          <w:szCs w:val="20"/>
          <w:lang w:bidi="ar"/>
        </w:rPr>
        <w:t>湖南省网络商品交易监测中心</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hint="eastAsia" w:ascii="Times New Roman" w:hAnsi="Times New Roman" w:eastAsia="楷体_GB2312" w:cs="Times New Roman"/>
          <w:color w:val="000000"/>
          <w:sz w:val="20"/>
          <w:szCs w:val="20"/>
          <w:lang w:val="en-US" w:eastAsia="zh-CN"/>
        </w:rPr>
        <w:t xml:space="preserve">                 </w:t>
      </w:r>
      <w:r>
        <w:rPr>
          <w:rFonts w:ascii="Times New Roman" w:hAnsi="Times New Roman" w:eastAsia="楷体_GB2312" w:cs="Times New Roman"/>
          <w:color w:val="000000"/>
          <w:kern w:val="0"/>
          <w:sz w:val="20"/>
          <w:szCs w:val="20"/>
          <w:lang w:bidi="ar"/>
        </w:rPr>
        <w:t>单位：万元</w:t>
      </w:r>
    </w:p>
    <w:tbl>
      <w:tblPr>
        <w:tblStyle w:val="13"/>
        <w:tblW w:w="14544" w:type="dxa"/>
        <w:jc w:val="center"/>
        <w:tblInd w:w="0" w:type="dxa"/>
        <w:tblLayout w:type="fixed"/>
        <w:tblCellMar>
          <w:top w:w="0" w:type="dxa"/>
          <w:left w:w="108" w:type="dxa"/>
          <w:bottom w:w="0" w:type="dxa"/>
          <w:right w:w="108" w:type="dxa"/>
        </w:tblCellMar>
      </w:tblPr>
      <w:tblGrid>
        <w:gridCol w:w="934"/>
        <w:gridCol w:w="1228"/>
        <w:gridCol w:w="1085"/>
        <w:gridCol w:w="1187"/>
        <w:gridCol w:w="1425"/>
        <w:gridCol w:w="1379"/>
        <w:gridCol w:w="1050"/>
        <w:gridCol w:w="1166"/>
        <w:gridCol w:w="1166"/>
        <w:gridCol w:w="1166"/>
        <w:gridCol w:w="1358"/>
        <w:gridCol w:w="1400"/>
      </w:tblGrid>
      <w:tr>
        <w:tblPrEx>
          <w:tblLayout w:type="fixed"/>
          <w:tblCellMar>
            <w:top w:w="0" w:type="dxa"/>
            <w:left w:w="108" w:type="dxa"/>
            <w:bottom w:w="0" w:type="dxa"/>
            <w:right w:w="108" w:type="dxa"/>
          </w:tblCellMar>
        </w:tblPrEx>
        <w:trPr>
          <w:trHeight w:val="606" w:hRule="atLeast"/>
          <w:jc w:val="center"/>
        </w:trPr>
        <w:tc>
          <w:tcPr>
            <w:tcW w:w="72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预算数</w:t>
            </w:r>
          </w:p>
        </w:tc>
        <w:tc>
          <w:tcPr>
            <w:tcW w:w="73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决算数</w:t>
            </w:r>
          </w:p>
        </w:tc>
      </w:tr>
      <w:tr>
        <w:tblPrEx>
          <w:tblLayout w:type="fixed"/>
          <w:tblCellMar>
            <w:top w:w="0" w:type="dxa"/>
            <w:left w:w="108" w:type="dxa"/>
            <w:bottom w:w="0" w:type="dxa"/>
            <w:right w:w="108" w:type="dxa"/>
          </w:tblCellMar>
        </w:tblPrEx>
        <w:trPr>
          <w:trHeight w:val="495" w:hRule="atLeast"/>
          <w:jc w:val="center"/>
        </w:trPr>
        <w:tc>
          <w:tcPr>
            <w:tcW w:w="9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合计</w:t>
            </w: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因公出国（境）费</w:t>
            </w:r>
          </w:p>
        </w:tc>
        <w:tc>
          <w:tcPr>
            <w:tcW w:w="36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公务用车购置及运行维护费</w:t>
            </w:r>
          </w:p>
        </w:tc>
        <w:tc>
          <w:tcPr>
            <w:tcW w:w="13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公务接待费</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合计</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因公出国（境）费</w:t>
            </w:r>
          </w:p>
        </w:tc>
        <w:tc>
          <w:tcPr>
            <w:tcW w:w="3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公务用车购置及运行维护费</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公务接待费</w:t>
            </w:r>
          </w:p>
        </w:tc>
      </w:tr>
      <w:tr>
        <w:tblPrEx>
          <w:tblLayout w:type="fixed"/>
          <w:tblCellMar>
            <w:top w:w="0" w:type="dxa"/>
            <w:left w:w="108" w:type="dxa"/>
            <w:bottom w:w="0" w:type="dxa"/>
            <w:right w:w="108" w:type="dxa"/>
          </w:tblCellMar>
        </w:tblPrEx>
        <w:trPr>
          <w:trHeight w:val="864" w:hRule="atLeast"/>
          <w:jc w:val="center"/>
        </w:trPr>
        <w:tc>
          <w:tcPr>
            <w:tcW w:w="9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小计</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购置费</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运行维护费</w:t>
            </w:r>
          </w:p>
        </w:tc>
        <w:tc>
          <w:tcPr>
            <w:tcW w:w="1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小计</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购置费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运行维护费</w:t>
            </w: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r>
      <w:tr>
        <w:tblPrEx>
          <w:tblLayout w:type="fixed"/>
          <w:tblCellMar>
            <w:top w:w="0" w:type="dxa"/>
            <w:left w:w="108" w:type="dxa"/>
            <w:bottom w:w="0" w:type="dxa"/>
            <w:right w:w="108" w:type="dxa"/>
          </w:tblCellMar>
        </w:tblPrEx>
        <w:trPr>
          <w:trHeight w:val="614" w:hRule="atLeast"/>
          <w:jc w:val="center"/>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w:t>
            </w: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w:t>
            </w:r>
          </w:p>
        </w:tc>
      </w:tr>
      <w:tr>
        <w:tblPrEx>
          <w:tblLayout w:type="fixed"/>
          <w:tblCellMar>
            <w:top w:w="0" w:type="dxa"/>
            <w:left w:w="108" w:type="dxa"/>
            <w:bottom w:w="0" w:type="dxa"/>
            <w:right w:w="108" w:type="dxa"/>
          </w:tblCellMar>
        </w:tblPrEx>
        <w:trPr>
          <w:trHeight w:val="579" w:hRule="atLeast"/>
          <w:jc w:val="center"/>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32.60</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Times New Roman" w:hAnsi="Times New Roman" w:eastAsia="仿宋_GB2312" w:cs="Times New Roman"/>
                <w:color w:val="000000"/>
                <w:sz w:val="22"/>
              </w:rPr>
            </w:pP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32.00</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27.00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5.00</w:t>
            </w: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21.70</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21.59</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17.98</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3.61</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0.11</w:t>
            </w:r>
          </w:p>
        </w:tc>
      </w:tr>
    </w:tbl>
    <w:p>
      <w:pPr>
        <w:widowControl/>
        <w:spacing w:before="120"/>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r>
        <w:rPr>
          <w:rFonts w:ascii="Times New Roman" w:hAnsi="Times New Roman" w:eastAsia="黑体" w:cs="Times New Roman"/>
          <w:szCs w:val="21"/>
        </w:rPr>
        <w:br w:type="page"/>
      </w:r>
    </w:p>
    <w:p>
      <w:pPr>
        <w:pStyle w:val="18"/>
        <w:rPr>
          <w:rFonts w:ascii="Times New Roman" w:hAnsi="Times New Roman" w:cs="Times New Roman"/>
          <w:sz w:val="72"/>
          <w:szCs w:val="72"/>
        </w:rPr>
      </w:pPr>
    </w:p>
    <w:p>
      <w:pPr>
        <w:pStyle w:val="18"/>
        <w:rPr>
          <w:rFonts w:ascii="Times New Roman" w:hAnsi="Times New Roman" w:cs="Times New Roman"/>
          <w:sz w:val="72"/>
          <w:szCs w:val="72"/>
        </w:rPr>
      </w:pPr>
    </w:p>
    <w:p>
      <w:pPr>
        <w:pStyle w:val="18"/>
        <w:rPr>
          <w:rFonts w:ascii="Times New Roman" w:hAnsi="Times New Roman" w:cs="Times New Roman"/>
          <w:sz w:val="72"/>
          <w:szCs w:val="72"/>
        </w:rPr>
      </w:pPr>
    </w:p>
    <w:p>
      <w:pPr>
        <w:pStyle w:val="18"/>
        <w:jc w:val="center"/>
        <w:rPr>
          <w:rFonts w:ascii="Times New Roman" w:hAnsi="Times New Roman" w:cs="Times New Roman"/>
          <w:sz w:val="72"/>
          <w:szCs w:val="72"/>
        </w:rPr>
      </w:pPr>
    </w:p>
    <w:p>
      <w:pPr>
        <w:pStyle w:val="18"/>
        <w:jc w:val="center"/>
        <w:rPr>
          <w:rFonts w:ascii="Times New Roman" w:hAnsi="Times New Roman" w:eastAsia="方正小标宋_GBK" w:cs="Times New Roman"/>
          <w:sz w:val="72"/>
          <w:szCs w:val="72"/>
        </w:rPr>
      </w:pP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决算情况说明</w:t>
      </w:r>
    </w:p>
    <w:p>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rPr>
        <w:t>768.8</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rPr>
        <w:t>373.91</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rPr>
        <w:t>32.72</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减少</w:t>
      </w:r>
      <w:r>
        <w:rPr>
          <w:rFonts w:hint="eastAsia" w:ascii="Times New Roman" w:hAnsi="Times New Roman" w:eastAsia="仿宋_GB2312" w:cs="Times New Roman"/>
          <w:sz w:val="32"/>
          <w:szCs w:val="32"/>
        </w:rPr>
        <w:t>网络交易监测系统建设专项、</w:t>
      </w:r>
      <w:r>
        <w:rPr>
          <w:rFonts w:hint="eastAsia" w:ascii="Times New Roman" w:hAnsi="Times New Roman" w:eastAsia="仿宋_GB2312" w:cs="Times New Roman"/>
          <w:sz w:val="32"/>
          <w:szCs w:val="32"/>
          <w:lang w:val="en-US" w:eastAsia="zh-CN"/>
        </w:rPr>
        <w:t>人员经费等支出。</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rPr>
        <w:t>717.77</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rPr>
        <w:t>717.77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rPr>
        <w:t>741.53</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698.93</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94.26%</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42.60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5.74%</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rPr>
        <w:t>768.80</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rPr>
        <w:t>373.91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降低</w:t>
      </w:r>
      <w:r>
        <w:rPr>
          <w:rFonts w:hint="eastAsia" w:ascii="Times New Roman" w:hAnsi="Times New Roman" w:eastAsia="仿宋_GB2312" w:cs="Times New Roman"/>
          <w:sz w:val="32"/>
          <w:szCs w:val="32"/>
        </w:rPr>
        <w:t>32.72%</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rPr>
        <w:t>减少网络交易监测系统建设专项、</w:t>
      </w:r>
      <w:r>
        <w:rPr>
          <w:rFonts w:hint="eastAsia" w:ascii="Times New Roman" w:hAnsi="Times New Roman" w:eastAsia="仿宋_GB2312" w:cs="Times New Roman"/>
          <w:sz w:val="32"/>
          <w:szCs w:val="32"/>
          <w:lang w:val="en-US" w:eastAsia="zh-CN"/>
        </w:rPr>
        <w:t>人员经费</w:t>
      </w:r>
      <w:r>
        <w:rPr>
          <w:rFonts w:hint="eastAsia" w:ascii="Times New Roman" w:hAnsi="Times New Roman" w:eastAsia="仿宋_GB2312" w:cs="Times New Roman"/>
          <w:sz w:val="32"/>
          <w:szCs w:val="32"/>
        </w:rPr>
        <w:t>等支出</w:t>
      </w:r>
      <w:r>
        <w:rPr>
          <w:rFonts w:hint="eastAsia" w:ascii="Times New Roman" w:hAnsi="Times New Roman" w:eastAsia="仿宋_GB2312" w:cs="Times New Roman"/>
          <w:sz w:val="32"/>
          <w:szCs w:val="32"/>
          <w:lang w:eastAsia="zh-CN"/>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741.53</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19.90</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2.76</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rPr>
        <w:t>增加了公务车辆购置</w:t>
      </w:r>
      <w:r>
        <w:rPr>
          <w:rFonts w:hint="eastAsia" w:ascii="Times New Roman" w:hAnsi="Times New Roman" w:eastAsia="仿宋_GB2312" w:cs="Times New Roman"/>
          <w:sz w:val="32"/>
          <w:szCs w:val="32"/>
          <w:lang w:val="en-US" w:eastAsia="zh-CN"/>
        </w:rPr>
        <w:t>支出</w:t>
      </w:r>
      <w:r>
        <w:rPr>
          <w:rFonts w:hint="eastAsia" w:ascii="Times New Roman" w:hAnsi="Times New Roman" w:eastAsia="仿宋_GB2312" w:cs="Times New Roman"/>
          <w:sz w:val="32"/>
          <w:szCs w:val="32"/>
          <w:lang w:eastAsia="zh-CN"/>
        </w:rPr>
        <w:t>。</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741.53</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rPr>
        <w:t>457.24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61.66%</w:t>
      </w:r>
      <w:r>
        <w:rPr>
          <w:rFonts w:ascii="Times New Roman" w:hAnsi="Times New Roman" w:eastAsia="仿宋_GB2312" w:cs="Times New Roman"/>
          <w:sz w:val="32"/>
          <w:szCs w:val="32"/>
        </w:rPr>
        <w:t>；教育（类）支出</w:t>
      </w:r>
      <w:r>
        <w:rPr>
          <w:rFonts w:hint="eastAsia" w:ascii="Times New Roman" w:hAnsi="Times New Roman" w:eastAsia="仿宋_GB2312" w:cs="Times New Roman"/>
          <w:sz w:val="32"/>
          <w:szCs w:val="32"/>
        </w:rPr>
        <w:t>1.00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0.13%</w:t>
      </w:r>
      <w:r>
        <w:rPr>
          <w:rFonts w:hint="eastAsia" w:ascii="Times New Roman" w:hAnsi="Times New Roman" w:eastAsia="仿宋_GB2312" w:cs="Times New Roman"/>
          <w:sz w:val="32"/>
          <w:szCs w:val="32"/>
          <w:lang w:eastAsia="zh-CN"/>
        </w:rPr>
        <w:t>；社会保障和就业（</w:t>
      </w:r>
      <w:r>
        <w:rPr>
          <w:rFonts w:hint="eastAsia"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eastAsia="zh-CN"/>
        </w:rPr>
        <w:t>）支出222.29</w:t>
      </w:r>
      <w:r>
        <w:rPr>
          <w:rFonts w:hint="eastAsia" w:ascii="Times New Roman" w:hAnsi="Times New Roman" w:eastAsia="仿宋_GB2312" w:cs="Times New Roman"/>
          <w:sz w:val="32"/>
          <w:szCs w:val="32"/>
          <w:lang w:val="en-US" w:eastAsia="zh-CN"/>
        </w:rPr>
        <w:t>万元，占29.98%；卫生健康（类）支出23.00万元，占3.10%；住房保障（类）支出38.00万元，占5.13%。</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rPr>
        <w:t>1010.80</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rPr>
        <w:t>741.53</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73.36%</w:t>
      </w:r>
      <w:r>
        <w:rPr>
          <w:rFonts w:ascii="Times New Roman" w:hAnsi="Times New Roman" w:eastAsia="仿宋_GB2312" w:cs="Times New Roman"/>
          <w:sz w:val="32"/>
          <w:szCs w:val="32"/>
        </w:rPr>
        <w:t>，其中：</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1、一般公共服务（类）</w:t>
      </w:r>
      <w:r>
        <w:rPr>
          <w:rFonts w:hint="eastAsia" w:ascii="Times New Roman" w:hAnsi="Times New Roman" w:eastAsia="仿宋_GB2312" w:cs="Times New Roman"/>
          <w:sz w:val="32"/>
          <w:szCs w:val="32"/>
        </w:rPr>
        <w:t>市场监督管理事务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市场秩序执法</w:t>
      </w:r>
      <w:r>
        <w:rPr>
          <w:rFonts w:ascii="Times New Roman" w:hAnsi="Times New Roman" w:eastAsia="仿宋_GB2312" w:cs="Times New Roman"/>
          <w:sz w:val="32"/>
          <w:szCs w:val="32"/>
        </w:rPr>
        <w:t>（项）。</w:t>
      </w:r>
    </w:p>
    <w:p>
      <w:pPr>
        <w:pStyle w:val="18"/>
        <w:overflowPunct w:val="0"/>
        <w:autoSpaceDE/>
        <w:autoSpaceDN/>
        <w:spacing w:line="600" w:lineRule="exact"/>
        <w:ind w:firstLine="600" w:firstLineChars="200"/>
        <w:jc w:val="both"/>
        <w:rPr>
          <w:rFonts w:hint="eastAsia" w:ascii="Times New Roman" w:hAnsi="Times New Roman" w:eastAsia="仿宋_GB2312" w:cs="Times New Roman"/>
          <w:sz w:val="30"/>
          <w:szCs w:val="30"/>
        </w:rPr>
      </w:pPr>
      <w:r>
        <w:rPr>
          <w:rFonts w:ascii="Times New Roman" w:hAnsi="Times New Roman" w:eastAsia="仿宋_GB2312" w:cs="Times New Roman"/>
          <w:sz w:val="30"/>
          <w:szCs w:val="30"/>
        </w:rPr>
        <w:t>年初预算为</w:t>
      </w:r>
      <w:r>
        <w:rPr>
          <w:rFonts w:hint="eastAsia" w:ascii="Times New Roman" w:hAnsi="Times New Roman" w:eastAsia="仿宋_GB2312" w:cs="Times New Roman"/>
          <w:sz w:val="30"/>
          <w:szCs w:val="30"/>
        </w:rPr>
        <w:t>32.50</w:t>
      </w:r>
      <w:r>
        <w:rPr>
          <w:rFonts w:ascii="Times New Roman" w:hAnsi="Times New Roman" w:eastAsia="仿宋_GB2312" w:cs="Times New Roman"/>
          <w:sz w:val="30"/>
          <w:szCs w:val="30"/>
        </w:rPr>
        <w:t>万元，支出决算为</w:t>
      </w:r>
      <w:r>
        <w:rPr>
          <w:rFonts w:hint="eastAsia" w:ascii="Times New Roman" w:hAnsi="Times New Roman" w:eastAsia="仿宋_GB2312" w:cs="Times New Roman"/>
          <w:sz w:val="30"/>
          <w:szCs w:val="30"/>
        </w:rPr>
        <w:t>19.62</w:t>
      </w:r>
      <w:r>
        <w:rPr>
          <w:rFonts w:ascii="Times New Roman" w:hAnsi="Times New Roman" w:eastAsia="仿宋_GB2312" w:cs="Times New Roman"/>
          <w:sz w:val="30"/>
          <w:szCs w:val="30"/>
        </w:rPr>
        <w:t>万元，完成年初预算的</w:t>
      </w:r>
      <w:r>
        <w:rPr>
          <w:rFonts w:hint="eastAsia" w:ascii="Times New Roman" w:hAnsi="Times New Roman" w:eastAsia="仿宋_GB2312" w:cs="Times New Roman"/>
          <w:sz w:val="30"/>
          <w:szCs w:val="30"/>
          <w:lang w:val="en-US" w:eastAsia="zh-CN"/>
        </w:rPr>
        <w:t>60.37%</w:t>
      </w:r>
      <w:r>
        <w:rPr>
          <w:rFonts w:ascii="Times New Roman" w:hAnsi="Times New Roman" w:eastAsia="仿宋_GB2312" w:cs="Times New Roman"/>
          <w:sz w:val="30"/>
          <w:szCs w:val="30"/>
        </w:rPr>
        <w:t>，决算数小于年初预算数的主要原因是：</w:t>
      </w:r>
      <w:r>
        <w:rPr>
          <w:rFonts w:hint="eastAsia" w:ascii="Times New Roman" w:hAnsi="Times New Roman" w:eastAsia="仿宋_GB2312" w:cs="Times New Roman"/>
          <w:sz w:val="30"/>
          <w:szCs w:val="30"/>
          <w:lang w:val="en-US" w:eastAsia="zh-CN"/>
        </w:rPr>
        <w:t>根据年初预算严格控制支出</w:t>
      </w:r>
      <w:r>
        <w:rPr>
          <w:rFonts w:hint="eastAsia" w:ascii="Times New Roman" w:hAnsi="Times New Roman" w:eastAsia="仿宋_GB2312" w:cs="Times New Roman"/>
          <w:sz w:val="30"/>
          <w:szCs w:val="30"/>
        </w:rPr>
        <w:t>。</w:t>
      </w:r>
    </w:p>
    <w:p>
      <w:pPr>
        <w:pStyle w:val="18"/>
        <w:overflowPunct w:val="0"/>
        <w:autoSpaceDE/>
        <w:autoSpaceDN/>
        <w:spacing w:line="600" w:lineRule="exact"/>
        <w:ind w:firstLine="600" w:firstLineChars="200"/>
        <w:jc w:val="both"/>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Times New Roman" w:hAnsi="Times New Roman" w:eastAsia="仿宋_GB2312" w:cs="Times New Roman"/>
          <w:sz w:val="30"/>
          <w:szCs w:val="30"/>
        </w:rPr>
        <w:t>一般公共服务（类）市场监督管理事务（款）事业运行</w:t>
      </w:r>
      <w:r>
        <w:rPr>
          <w:rFonts w:ascii="Times New Roman" w:hAnsi="Times New Roman" w:eastAsia="仿宋_GB2312" w:cs="Times New Roman"/>
          <w:sz w:val="30"/>
          <w:szCs w:val="30"/>
        </w:rPr>
        <w:t>（项）。</w:t>
      </w:r>
    </w:p>
    <w:p>
      <w:pPr>
        <w:pStyle w:val="18"/>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Times New Roman" w:hAnsi="Times New Roman" w:eastAsia="仿宋_GB2312" w:cs="Times New Roman"/>
          <w:sz w:val="30"/>
          <w:szCs w:val="30"/>
          <w:highlight w:val="none"/>
          <w:lang w:val="en-US" w:eastAsia="zh-CN"/>
        </w:rPr>
      </w:pPr>
      <w:r>
        <w:rPr>
          <w:rFonts w:ascii="Times New Roman" w:hAnsi="Times New Roman" w:eastAsia="仿宋_GB2312" w:cs="Times New Roman"/>
          <w:sz w:val="30"/>
          <w:szCs w:val="30"/>
        </w:rPr>
        <w:t>年初预算为</w:t>
      </w:r>
      <w:r>
        <w:rPr>
          <w:rFonts w:hint="eastAsia" w:ascii="Times New Roman" w:hAnsi="Times New Roman" w:eastAsia="仿宋_GB2312" w:cs="Times New Roman"/>
          <w:sz w:val="30"/>
          <w:szCs w:val="30"/>
        </w:rPr>
        <w:t>687.30</w:t>
      </w:r>
      <w:r>
        <w:rPr>
          <w:rFonts w:ascii="Times New Roman" w:hAnsi="Times New Roman" w:eastAsia="仿宋_GB2312" w:cs="Times New Roman"/>
          <w:sz w:val="30"/>
          <w:szCs w:val="30"/>
        </w:rPr>
        <w:t>万元，支出决算为</w:t>
      </w:r>
      <w:r>
        <w:rPr>
          <w:rFonts w:hint="eastAsia" w:ascii="Times New Roman" w:hAnsi="Times New Roman" w:eastAsia="仿宋_GB2312" w:cs="Times New Roman"/>
          <w:sz w:val="30"/>
          <w:szCs w:val="30"/>
        </w:rPr>
        <w:t>414.64</w:t>
      </w:r>
      <w:r>
        <w:rPr>
          <w:rFonts w:ascii="Times New Roman" w:hAnsi="Times New Roman" w:eastAsia="仿宋_GB2312" w:cs="Times New Roman"/>
          <w:sz w:val="30"/>
          <w:szCs w:val="30"/>
        </w:rPr>
        <w:t>万元，完成年初预算的</w:t>
      </w:r>
      <w:r>
        <w:rPr>
          <w:rFonts w:hint="eastAsia" w:ascii="Times New Roman" w:hAnsi="Times New Roman" w:eastAsia="仿宋_GB2312" w:cs="Times New Roman"/>
          <w:sz w:val="30"/>
          <w:szCs w:val="30"/>
          <w:lang w:val="en-US" w:eastAsia="zh-CN"/>
        </w:rPr>
        <w:t>60.33%</w:t>
      </w:r>
      <w:r>
        <w:rPr>
          <w:rFonts w:ascii="Times New Roman" w:hAnsi="Times New Roman" w:eastAsia="仿宋_GB2312" w:cs="Times New Roman"/>
          <w:sz w:val="30"/>
          <w:szCs w:val="30"/>
        </w:rPr>
        <w:t>，</w:t>
      </w:r>
      <w:r>
        <w:rPr>
          <w:rFonts w:ascii="Times New Roman" w:hAnsi="Times New Roman" w:eastAsia="仿宋_GB2312" w:cs="Times New Roman"/>
          <w:sz w:val="30"/>
          <w:szCs w:val="30"/>
          <w:highlight w:val="none"/>
        </w:rPr>
        <w:t>决算数</w:t>
      </w:r>
      <w:r>
        <w:rPr>
          <w:rFonts w:hint="eastAsia" w:ascii="Times New Roman" w:hAnsi="Times New Roman" w:eastAsia="仿宋_GB2312" w:cs="Times New Roman"/>
          <w:sz w:val="30"/>
          <w:szCs w:val="30"/>
          <w:highlight w:val="none"/>
          <w:lang w:val="en-US" w:eastAsia="zh-CN"/>
        </w:rPr>
        <w:t>小</w:t>
      </w:r>
      <w:r>
        <w:rPr>
          <w:rFonts w:ascii="Times New Roman" w:hAnsi="Times New Roman" w:eastAsia="仿宋_GB2312" w:cs="Times New Roman"/>
          <w:sz w:val="30"/>
          <w:szCs w:val="30"/>
          <w:highlight w:val="none"/>
        </w:rPr>
        <w:t>于年初预算数的主要原因是：</w:t>
      </w:r>
      <w:r>
        <w:rPr>
          <w:rFonts w:hint="eastAsia" w:ascii="Times New Roman" w:hAnsi="Times New Roman" w:eastAsia="仿宋_GB2312"/>
          <w:color w:val="auto"/>
          <w:sz w:val="32"/>
          <w:szCs w:val="32"/>
          <w:lang w:eastAsia="zh-CN"/>
        </w:rPr>
        <w:t>因</w:t>
      </w:r>
      <w:r>
        <w:rPr>
          <w:rFonts w:hint="eastAsia" w:ascii="Times New Roman" w:hAnsi="Times New Roman" w:eastAsia="仿宋_GB2312"/>
          <w:color w:val="auto"/>
          <w:sz w:val="32"/>
          <w:szCs w:val="32"/>
        </w:rPr>
        <w:t>省局部分信息化项目尚未完成验收，省发改委未能同意启动</w:t>
      </w:r>
      <w:r>
        <w:rPr>
          <w:rFonts w:hint="eastAsia" w:ascii="Times New Roman" w:hAnsi="Times New Roman" w:eastAsia="仿宋_GB2312"/>
          <w:color w:val="auto"/>
          <w:sz w:val="32"/>
          <w:szCs w:val="32"/>
          <w:lang w:eastAsia="zh-CN"/>
        </w:rPr>
        <w:t>新</w:t>
      </w:r>
      <w:r>
        <w:rPr>
          <w:rFonts w:hint="eastAsia" w:ascii="Times New Roman" w:hAnsi="Times New Roman" w:eastAsia="仿宋_GB2312"/>
          <w:color w:val="auto"/>
          <w:sz w:val="32"/>
          <w:szCs w:val="32"/>
        </w:rPr>
        <w:t>信息化总项目的立项工作，导致中心网络交易监测系统建设专项无法如期启动，</w:t>
      </w:r>
      <w:r>
        <w:rPr>
          <w:rFonts w:hint="eastAsia" w:ascii="Times New Roman" w:hAnsi="Times New Roman" w:eastAsia="仿宋_GB2312"/>
          <w:color w:val="auto"/>
          <w:sz w:val="32"/>
          <w:szCs w:val="32"/>
          <w:lang w:eastAsia="zh-CN"/>
        </w:rPr>
        <w:t>调整了年初预算指标，支出减少。</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、一般公共服务（类）市场监督管理事务（款）其他市场监督管理事务（项）。</w:t>
      </w:r>
    </w:p>
    <w:p>
      <w:pPr>
        <w:pStyle w:val="11"/>
        <w:keepNext w:val="0"/>
        <w:keepLines w:val="0"/>
        <w:widowControl/>
        <w:numPr>
          <w:ilvl w:val="0"/>
          <w:numId w:val="0"/>
        </w:numPr>
        <w:suppressLineNumbers w:val="0"/>
        <w:shd w:val="clear" w:color="auto" w:fill="FFFFFF"/>
        <w:spacing w:before="0" w:beforeAutospacing="0" w:after="0" w:afterAutospacing="0" w:line="525" w:lineRule="atLeast"/>
        <w:ind w:left="0" w:leftChars="0" w:right="0" w:rightChars="0" w:firstLine="636" w:firstLineChars="0"/>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32.00</w:t>
      </w:r>
      <w:r>
        <w:rPr>
          <w:rFonts w:hint="eastAsia" w:ascii="Times New Roman" w:hAnsi="Times New Roman" w:eastAsia="仿宋_GB2312" w:cs="Times New Roman"/>
          <w:sz w:val="32"/>
          <w:szCs w:val="32"/>
        </w:rPr>
        <w:t>万元，支出决算为22.98万元，完成年初预算的71.81%，</w:t>
      </w:r>
      <w:r>
        <w:rPr>
          <w:rFonts w:hint="eastAsia"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小</w:t>
      </w:r>
      <w:r>
        <w:rPr>
          <w:rFonts w:hint="eastAsia" w:ascii="Times New Roman" w:hAnsi="Times New Roman" w:eastAsia="仿宋_GB2312" w:cs="Times New Roman"/>
          <w:sz w:val="32"/>
          <w:szCs w:val="32"/>
          <w:highlight w:val="none"/>
        </w:rPr>
        <w:t>于年初预算数的主要原因是：</w:t>
      </w:r>
      <w:r>
        <w:rPr>
          <w:rFonts w:hint="eastAsia" w:ascii="仿宋_GB2312" w:hAnsi="仿宋" w:eastAsia="仿宋_GB2312" w:cs="Times New Roman"/>
          <w:kern w:val="2"/>
          <w:sz w:val="32"/>
          <w:szCs w:val="32"/>
          <w:highlight w:val="none"/>
          <w:lang w:val="en-US" w:eastAsia="zh-CN" w:bidi="ar-SA"/>
        </w:rPr>
        <w:t>省机关事务局出台新政策</w:t>
      </w:r>
      <w:r>
        <w:rPr>
          <w:rFonts w:hint="default" w:ascii="仿宋_GB2312" w:hAnsi="仿宋" w:eastAsia="仿宋_GB2312"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公务车辆只允许购买纯电车辆，购置费用减少</w:t>
      </w:r>
      <w:r>
        <w:rPr>
          <w:rFonts w:hint="default" w:ascii="仿宋_GB2312" w:hAnsi="仿宋" w:eastAsia="仿宋_GB2312" w:cs="Times New Roman"/>
          <w:kern w:val="2"/>
          <w:sz w:val="32"/>
          <w:szCs w:val="32"/>
          <w:highlight w:val="none"/>
          <w:lang w:val="en-US" w:eastAsia="zh-CN" w:bidi="ar-SA"/>
        </w:rPr>
        <w:t>。</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、教育支出（类）进修及培训（款）培训支出（项）。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万元，完成年初预算的1</w:t>
      </w:r>
      <w:r>
        <w:rPr>
          <w:rFonts w:hint="eastAsia" w:ascii="Times New Roman" w:hAnsi="Times New Roman" w:eastAsia="仿宋_GB2312" w:cs="Times New Roman"/>
          <w:sz w:val="32"/>
          <w:szCs w:val="32"/>
          <w:lang w:val="en-US" w:eastAsia="zh-CN"/>
        </w:rPr>
        <w:t>00</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等于</w:t>
      </w:r>
      <w:r>
        <w:rPr>
          <w:rFonts w:hint="eastAsia" w:ascii="Times New Roman" w:hAnsi="Times New Roman" w:eastAsia="仿宋_GB2312" w:cs="Times New Roman"/>
          <w:sz w:val="32"/>
          <w:szCs w:val="32"/>
        </w:rPr>
        <w:t>年初预算数的主要原因是：</w:t>
      </w:r>
      <w:r>
        <w:rPr>
          <w:rFonts w:hint="eastAsia" w:ascii="Times New Roman" w:hAnsi="Times New Roman" w:eastAsia="仿宋_GB2312" w:cs="Times New Roman"/>
          <w:sz w:val="32"/>
          <w:szCs w:val="32"/>
          <w:lang w:val="en-US" w:eastAsia="zh-CN"/>
        </w:rPr>
        <w:t>根据年初预算严格控制支出，收支一致。</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、社会保障和就业支出（类）行政事业单位养老支出（款）事业单位离退休（项）。</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年初预算为149.00万元，支出决算为156.96万元，完成年初预算的105.34%，决算数大于年初预算数的主要原因是：</w:t>
      </w:r>
      <w:r>
        <w:rPr>
          <w:rFonts w:hint="eastAsia" w:ascii="Times New Roman" w:hAnsi="Times New Roman" w:eastAsia="仿宋_GB2312" w:cs="Times New Roman"/>
          <w:sz w:val="32"/>
          <w:szCs w:val="32"/>
          <w:lang w:val="en-US" w:eastAsia="zh-CN"/>
        </w:rPr>
        <w:t>人员变动。</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、社会保障和就业支出（类）行政事业单位养老支出（款）机关事业单位基本养老保险缴费支出（项）。</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年初预算为33.00万元，支出决算为35.99万元，完成年初预算的109.06%，决算数</w:t>
      </w:r>
      <w:r>
        <w:rPr>
          <w:rFonts w:hint="eastAsia" w:ascii="Times New Roman" w:hAnsi="Times New Roman" w:eastAsia="仿宋_GB2312" w:cs="Times New Roman"/>
          <w:sz w:val="32"/>
          <w:szCs w:val="32"/>
          <w:lang w:val="en-US" w:eastAsia="zh-CN"/>
        </w:rPr>
        <w:t>大</w:t>
      </w:r>
      <w:r>
        <w:rPr>
          <w:rFonts w:hint="default" w:ascii="Times New Roman" w:hAnsi="Times New Roman" w:eastAsia="仿宋_GB2312" w:cs="Times New Roman"/>
          <w:sz w:val="32"/>
          <w:szCs w:val="32"/>
          <w:lang w:val="en-US" w:eastAsia="zh-CN"/>
        </w:rPr>
        <w:t>于年初预算数的主要原因是</w:t>
      </w:r>
      <w:r>
        <w:rPr>
          <w:rFonts w:hint="eastAsia" w:ascii="Times New Roman" w:hAnsi="Times New Roman" w:eastAsia="仿宋_GB2312" w:cs="Times New Roman"/>
          <w:sz w:val="32"/>
          <w:szCs w:val="32"/>
          <w:lang w:val="en-US" w:eastAsia="zh-CN"/>
        </w:rPr>
        <w:t>：缴费基数调增。</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、社会保障和就业支出（类）抚恤（款）死亡抚恤（项）。</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val="en-US" w:eastAsia="zh-CN"/>
        </w:rPr>
        <w:t>万元，支出决算为24.00万元，因年初预算金额为0万元，无法计算百分比，决算数大于年初预算数的主要原因是：</w:t>
      </w:r>
      <w:r>
        <w:rPr>
          <w:rFonts w:hint="eastAsia" w:ascii="Times New Roman" w:hAnsi="Times New Roman" w:eastAsia="仿宋_GB2312" w:cs="Times New Roman"/>
          <w:sz w:val="32"/>
          <w:szCs w:val="32"/>
          <w:lang w:val="en-US" w:eastAsia="zh-CN"/>
        </w:rPr>
        <w:t>离休干部死亡1人，年中追加预算。</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、社会保障和就业支出（类）其他社会保障和就业支出（款）其他社会保障和就业支出（项）。</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年初预算为6.00万元，支出决算为5.3</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万元，完成年初预算的</w:t>
      </w:r>
      <w:r>
        <w:rPr>
          <w:rFonts w:hint="eastAsia" w:ascii="Times New Roman" w:hAnsi="Times New Roman" w:eastAsia="仿宋_GB2312" w:cs="Times New Roman"/>
          <w:sz w:val="32"/>
          <w:szCs w:val="32"/>
          <w:lang w:val="en-US" w:eastAsia="zh-CN"/>
        </w:rPr>
        <w:t>89</w:t>
      </w:r>
      <w:r>
        <w:rPr>
          <w:rFonts w:hint="default" w:ascii="Times New Roman" w:hAnsi="Times New Roman" w:eastAsia="仿宋_GB2312" w:cs="Times New Roman"/>
          <w:sz w:val="32"/>
          <w:szCs w:val="32"/>
          <w:lang w:val="en-US" w:eastAsia="zh-CN"/>
        </w:rPr>
        <w:t>%，决算数</w:t>
      </w:r>
      <w:r>
        <w:rPr>
          <w:rFonts w:hint="eastAsia" w:ascii="Times New Roman" w:hAnsi="Times New Roman" w:eastAsia="仿宋_GB2312" w:cs="Times New Roman"/>
          <w:sz w:val="32"/>
          <w:szCs w:val="32"/>
          <w:lang w:val="en-US" w:eastAsia="zh-CN"/>
        </w:rPr>
        <w:t>小</w:t>
      </w:r>
      <w:r>
        <w:rPr>
          <w:rFonts w:hint="default" w:ascii="Times New Roman" w:hAnsi="Times New Roman" w:eastAsia="仿宋_GB2312" w:cs="Times New Roman"/>
          <w:sz w:val="32"/>
          <w:szCs w:val="32"/>
          <w:lang w:val="en-US" w:eastAsia="zh-CN"/>
        </w:rPr>
        <w:t>于年初预算数的主要原因是：</w:t>
      </w:r>
      <w:r>
        <w:rPr>
          <w:rFonts w:hint="eastAsia" w:ascii="Times New Roman" w:hAnsi="Times New Roman" w:eastAsia="仿宋_GB2312" w:cs="Times New Roman"/>
          <w:sz w:val="32"/>
          <w:szCs w:val="32"/>
          <w:lang w:val="en-US" w:eastAsia="zh-CN"/>
        </w:rPr>
        <w:t>根据预算严格控制支出。</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、卫生健康支出（类）行政事业单位医疗（款）事业单位医疗（项）。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年初预算为30.00万元，支出决算为23.00万元，完成年初预算的76.67%，决算数小于年初预算数的主要原因是：</w:t>
      </w:r>
      <w:r>
        <w:rPr>
          <w:rFonts w:hint="eastAsia" w:ascii="Times New Roman" w:hAnsi="Times New Roman" w:eastAsia="仿宋_GB2312" w:cs="Times New Roman"/>
          <w:sz w:val="32"/>
          <w:szCs w:val="32"/>
          <w:lang w:val="en-US" w:eastAsia="zh-CN"/>
        </w:rPr>
        <w:t>在职人员退休及缴费基数调整。</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、住房保障支出（类）住房改革支出（款）住房公积金（项）。</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年初预算为40.00万元，支出决算为38.00万元，完成年初预算的95.00%，决算数</w:t>
      </w:r>
      <w:r>
        <w:rPr>
          <w:rFonts w:hint="eastAsia" w:ascii="Times New Roman" w:hAnsi="Times New Roman" w:eastAsia="仿宋_GB2312" w:cs="Times New Roman"/>
          <w:sz w:val="32"/>
          <w:szCs w:val="32"/>
          <w:lang w:val="en-US" w:eastAsia="zh-CN"/>
        </w:rPr>
        <w:t>小</w:t>
      </w:r>
      <w:r>
        <w:rPr>
          <w:rFonts w:hint="default" w:ascii="Times New Roman" w:hAnsi="Times New Roman" w:eastAsia="仿宋_GB2312" w:cs="Times New Roman"/>
          <w:sz w:val="32"/>
          <w:szCs w:val="32"/>
          <w:lang w:val="en-US" w:eastAsia="zh-CN"/>
        </w:rPr>
        <w:t>于年初预算数的主要原因是：</w:t>
      </w:r>
      <w:r>
        <w:rPr>
          <w:rFonts w:hint="eastAsia" w:ascii="Times New Roman" w:hAnsi="Times New Roman" w:eastAsia="仿宋_GB2312" w:cs="Times New Roman"/>
          <w:sz w:val="32"/>
          <w:szCs w:val="32"/>
          <w:lang w:val="en-US" w:eastAsia="zh-CN"/>
        </w:rPr>
        <w:t>人员变动</w:t>
      </w:r>
      <w:r>
        <w:rPr>
          <w:rFonts w:hint="default" w:ascii="Times New Roman" w:hAnsi="Times New Roman" w:eastAsia="仿宋_GB2312" w:cs="Times New Roman"/>
          <w:sz w:val="32"/>
          <w:szCs w:val="32"/>
          <w:lang w:val="en-US" w:eastAsia="zh-CN"/>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rPr>
        <w:t>698.93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其中：</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rPr>
        <w:t>586.00</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rPr>
        <w:t>83.84%</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主要包括基本工资、津贴补贴</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伙食补助费</w:t>
      </w:r>
      <w:r>
        <w:rPr>
          <w:rFonts w:hint="eastAsia" w:ascii="Times New Roman" w:hAnsi="Times New Roman" w:eastAsia="仿宋_GB2312" w:cs="Times New Roman"/>
          <w:sz w:val="32"/>
          <w:szCs w:val="32"/>
          <w:lang w:eastAsia="zh-CN"/>
        </w:rPr>
        <w:t>、绩效工资、机关事业单位基本养老保险缴费、职工基本医疗保险缴费、其他社会保障缴费、住房公积金、离休费、退休费、抚恤金、生活补助、医疗费补助、其他对个人和家庭的补助。</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rPr>
        <w:t>112.93</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rPr>
        <w:t>16.16%</w:t>
      </w:r>
      <w:r>
        <w:rPr>
          <w:rFonts w:ascii="Times New Roman" w:hAnsi="Times New Roman" w:eastAsia="仿宋_GB2312" w:cs="Times New Roman"/>
          <w:sz w:val="32"/>
          <w:szCs w:val="32"/>
        </w:rPr>
        <w:t>，主要包括办公费、印刷费、</w:t>
      </w:r>
      <w:r>
        <w:rPr>
          <w:rFonts w:hint="eastAsia" w:ascii="Times New Roman" w:hAnsi="Times New Roman" w:eastAsia="仿宋_GB2312" w:cs="Times New Roman"/>
          <w:sz w:val="32"/>
          <w:szCs w:val="32"/>
        </w:rPr>
        <w:t>邮电费</w:t>
      </w:r>
      <w:r>
        <w:rPr>
          <w:rFonts w:hint="eastAsia" w:ascii="Times New Roman" w:hAnsi="Times New Roman" w:eastAsia="仿宋_GB2312" w:cs="Times New Roman"/>
          <w:sz w:val="32"/>
          <w:szCs w:val="32"/>
          <w:lang w:eastAsia="zh-CN"/>
        </w:rPr>
        <w:t>、差旅费、维修（护）费、培训费、公务接待费、劳务费、委托业务费、工会经费、公务用车运行维护费、其他交通费用、其他商品和服务支出、办公设备购置</w:t>
      </w:r>
      <w:r>
        <w:rPr>
          <w:rFonts w:ascii="Times New Roman" w:hAnsi="Times New Roman" w:eastAsia="仿宋_GB2312" w:cs="Times New Roman"/>
          <w:sz w:val="32"/>
          <w:szCs w:val="32"/>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七、财政拨款“三公”经费支出决算情况说明</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FF0000"/>
          <w:sz w:val="32"/>
          <w:szCs w:val="32"/>
          <w:highlight w:val="yellow"/>
        </w:rPr>
      </w:pPr>
      <w:r>
        <w:rPr>
          <w:rFonts w:hint="eastAsia" w:ascii="Times New Roman" w:hAnsi="Times New Roman" w:eastAsia="仿宋_GB2312" w:cs="Times New Roman"/>
          <w:sz w:val="32"/>
          <w:szCs w:val="32"/>
        </w:rPr>
        <w:t>2024年度“三公”经费财政拨款支出预算为32.60万元，支出决算为21.70万元，完成预算的66.56%；</w:t>
      </w:r>
      <w:r>
        <w:rPr>
          <w:rFonts w:hint="eastAsia" w:ascii="Times New Roman" w:hAnsi="Times New Roman" w:eastAsia="仿宋_GB2312" w:cs="Times New Roman"/>
          <w:color w:val="auto"/>
          <w:sz w:val="32"/>
          <w:szCs w:val="32"/>
          <w:highlight w:val="none"/>
        </w:rPr>
        <w:t>与上年相比</w:t>
      </w:r>
      <w:r>
        <w:rPr>
          <w:rFonts w:hint="eastAsia" w:ascii="Times New Roman" w:hAnsi="Times New Roman" w:eastAsia="仿宋_GB2312" w:cs="Times New Roman"/>
          <w:color w:val="auto"/>
          <w:sz w:val="32"/>
          <w:szCs w:val="32"/>
          <w:highlight w:val="none"/>
          <w:lang w:val="en-US" w:eastAsia="zh-CN"/>
        </w:rPr>
        <w:t>增加16.84</w:t>
      </w:r>
      <w:r>
        <w:rPr>
          <w:rFonts w:hint="eastAsia" w:ascii="Times New Roman" w:hAnsi="Times New Roman" w:eastAsia="仿宋_GB2312" w:cs="Times New Roman"/>
          <w:color w:val="auto"/>
          <w:sz w:val="32"/>
          <w:szCs w:val="32"/>
          <w:highlight w:val="none"/>
        </w:rPr>
        <w:t>万元，</w:t>
      </w:r>
      <w:r>
        <w:rPr>
          <w:rFonts w:hint="eastAsia" w:ascii="Times New Roman" w:hAnsi="Times New Roman" w:eastAsia="仿宋_GB2312" w:cs="Times New Roman"/>
          <w:color w:val="auto"/>
          <w:sz w:val="32"/>
          <w:szCs w:val="32"/>
          <w:highlight w:val="none"/>
          <w:lang w:val="en-US" w:eastAsia="zh-CN"/>
        </w:rPr>
        <w:t>增长</w:t>
      </w:r>
      <w:r>
        <w:rPr>
          <w:rFonts w:hint="eastAsia" w:ascii="Times New Roman" w:hAnsi="Times New Roman" w:eastAsia="仿宋_GB2312" w:cs="Times New Roman"/>
          <w:color w:val="auto"/>
          <w:sz w:val="32"/>
          <w:szCs w:val="32"/>
          <w:highlight w:val="none"/>
        </w:rPr>
        <w:t>346.50%。</w:t>
      </w:r>
      <w:r>
        <w:rPr>
          <w:rFonts w:hint="eastAsia" w:ascii="Times New Roman" w:hAnsi="Times New Roman" w:eastAsia="仿宋_GB2312" w:cs="Times New Roman"/>
          <w:sz w:val="32"/>
          <w:szCs w:val="32"/>
        </w:rPr>
        <w:t>决算数小于预算数的主要原因是严格执行中央“八项”规定，树立过紧日子的思想，严格“三公”经费支出。</w:t>
      </w:r>
      <w:r>
        <w:rPr>
          <w:rFonts w:hint="eastAsia" w:ascii="Times New Roman" w:hAnsi="Times New Roman" w:eastAsia="仿宋_GB2312" w:cs="Times New Roman"/>
          <w:color w:val="auto"/>
          <w:sz w:val="32"/>
          <w:szCs w:val="32"/>
          <w:highlight w:val="none"/>
        </w:rPr>
        <w:t>决算数</w:t>
      </w:r>
      <w:r>
        <w:rPr>
          <w:rFonts w:hint="eastAsia" w:ascii="Times New Roman" w:hAnsi="Times New Roman" w:eastAsia="仿宋_GB2312" w:cs="Times New Roman"/>
          <w:color w:val="auto"/>
          <w:sz w:val="32"/>
          <w:szCs w:val="32"/>
          <w:highlight w:val="none"/>
          <w:lang w:val="en-US" w:eastAsia="zh-CN"/>
        </w:rPr>
        <w:t>大</w:t>
      </w:r>
      <w:r>
        <w:rPr>
          <w:rFonts w:hint="eastAsia" w:ascii="Times New Roman" w:hAnsi="Times New Roman" w:eastAsia="仿宋_GB2312" w:cs="Times New Roman"/>
          <w:color w:val="auto"/>
          <w:sz w:val="32"/>
          <w:szCs w:val="32"/>
          <w:highlight w:val="none"/>
        </w:rPr>
        <w:t>于上年数的主要原因是</w:t>
      </w:r>
      <w:r>
        <w:rPr>
          <w:rFonts w:hint="eastAsia" w:ascii="Times New Roman" w:hAnsi="Times New Roman" w:eastAsia="仿宋_GB2312" w:cs="Times New Roman"/>
          <w:color w:val="auto"/>
          <w:sz w:val="32"/>
          <w:szCs w:val="32"/>
          <w:highlight w:val="none"/>
          <w:lang w:val="en-US" w:eastAsia="zh-CN"/>
        </w:rPr>
        <w:t>单位新购置一台公务</w:t>
      </w:r>
      <w:r>
        <w:rPr>
          <w:rFonts w:hint="eastAsia" w:ascii="Times New Roman" w:hAnsi="Times New Roman" w:eastAsia="仿宋_GB2312" w:cs="Times New Roman"/>
          <w:color w:val="auto"/>
          <w:sz w:val="32"/>
          <w:szCs w:val="32"/>
          <w:highlight w:val="none"/>
        </w:rPr>
        <w:t>越野车。</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pPr>
        <w:pStyle w:val="18"/>
        <w:overflowPunct w:val="0"/>
        <w:autoSpaceDE/>
        <w:autoSpaceDN/>
        <w:spacing w:line="600" w:lineRule="exact"/>
        <w:ind w:firstLine="640" w:firstLineChars="200"/>
        <w:jc w:val="both"/>
        <w:rPr>
          <w:rFonts w:ascii="Times New Roman" w:hAnsi="Times New Roman" w:eastAsia="仿宋_GB2312" w:cs="Times New Roman"/>
          <w:b/>
          <w:bCs/>
          <w:i/>
          <w:color w:val="auto"/>
          <w:sz w:val="32"/>
          <w:szCs w:val="32"/>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因年初预算金额为0万元，无法计算百分比</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与上年相比持平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决算数与预算数一致</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我单位严格按预算执行决算，持平的主要原因是202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年无此项开支</w:t>
      </w:r>
      <w:r>
        <w:rPr>
          <w:rFonts w:ascii="Times New Roman" w:hAnsi="Times New Roman" w:eastAsia="仿宋_GB2312" w:cs="Times New Roman"/>
          <w:sz w:val="32"/>
          <w:szCs w:val="32"/>
        </w:rPr>
        <w:t>。2024年度安排</w:t>
      </w:r>
      <w:r>
        <w:rPr>
          <w:rFonts w:hint="eastAsia" w:ascii="Times New Roman" w:hAnsi="Times New Roman" w:eastAsia="仿宋_GB2312" w:cs="Times New Roman"/>
          <w:sz w:val="32"/>
          <w:szCs w:val="32"/>
        </w:rPr>
        <w:t>因公出国（境）费支出决算为0万元，全年安排因公出国（境）团组0个，累计0人次,开支内容为无因公出国（境）费支出</w:t>
      </w:r>
    </w:p>
    <w:p>
      <w:pPr>
        <w:pStyle w:val="18"/>
        <w:overflowPunct w:val="0"/>
        <w:autoSpaceDE/>
        <w:autoSpaceDN/>
        <w:spacing w:line="600" w:lineRule="exact"/>
        <w:ind w:firstLine="640" w:firstLineChars="200"/>
        <w:jc w:val="both"/>
        <w:rPr>
          <w:rFonts w:ascii="Times New Roman" w:hAnsi="Times New Roman" w:eastAsia="仿宋_GB2312" w:cs="Times New Roman"/>
          <w:color w:val="auto"/>
          <w:sz w:val="32"/>
          <w:szCs w:val="32"/>
          <w:highlight w:val="none"/>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rPr>
        <w:t>32.00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21.59</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67.47%</w:t>
      </w:r>
      <w:r>
        <w:rPr>
          <w:rFonts w:ascii="Times New Roman" w:hAnsi="Times New Roman" w:eastAsia="仿宋_GB2312" w:cs="Times New Roman"/>
          <w:sz w:val="32"/>
          <w:szCs w:val="32"/>
        </w:rPr>
        <w:t>；</w:t>
      </w:r>
      <w:r>
        <w:rPr>
          <w:rFonts w:ascii="Times New Roman" w:hAnsi="Times New Roman" w:eastAsia="仿宋_GB2312" w:cs="Times New Roman"/>
          <w:color w:val="auto"/>
          <w:sz w:val="32"/>
          <w:szCs w:val="32"/>
          <w:highlight w:val="none"/>
        </w:rPr>
        <w:t>与上年相比</w:t>
      </w:r>
      <w:r>
        <w:rPr>
          <w:rFonts w:hint="eastAsia" w:ascii="Times New Roman" w:hAnsi="Times New Roman" w:eastAsia="仿宋_GB2312" w:cs="Times New Roman"/>
          <w:color w:val="auto"/>
          <w:sz w:val="32"/>
          <w:szCs w:val="32"/>
          <w:highlight w:val="none"/>
          <w:lang w:val="en-US" w:eastAsia="zh-CN"/>
        </w:rPr>
        <w:t>增加</w:t>
      </w:r>
      <w:r>
        <w:rPr>
          <w:rFonts w:hint="eastAsia" w:ascii="Times New Roman" w:hAnsi="Times New Roman" w:eastAsia="仿宋_GB2312" w:cs="Times New Roman"/>
          <w:color w:val="auto"/>
          <w:sz w:val="32"/>
          <w:szCs w:val="32"/>
          <w:highlight w:val="none"/>
        </w:rPr>
        <w:t>17.09</w:t>
      </w:r>
      <w:r>
        <w:rPr>
          <w:rFonts w:hint="eastAsia" w:ascii="Times New Roman" w:hAnsi="Times New Roman" w:eastAsia="仿宋_GB2312" w:cs="Times New Roman"/>
          <w:color w:val="auto"/>
          <w:sz w:val="32"/>
          <w:szCs w:val="32"/>
          <w:highlight w:val="none"/>
          <w:lang w:val="en-US" w:eastAsia="zh-CN"/>
        </w:rPr>
        <w:t>万</w:t>
      </w:r>
      <w:r>
        <w:rPr>
          <w:rFonts w:ascii="Times New Roman" w:hAnsi="Times New Roman" w:eastAsia="仿宋_GB2312" w:cs="Times New Roman"/>
          <w:color w:val="auto"/>
          <w:sz w:val="32"/>
          <w:szCs w:val="32"/>
          <w:highlight w:val="none"/>
        </w:rPr>
        <w:t>元，</w:t>
      </w:r>
      <w:r>
        <w:rPr>
          <w:rFonts w:hint="eastAsia" w:ascii="Times New Roman" w:hAnsi="Times New Roman" w:eastAsia="仿宋_GB2312" w:cs="Times New Roman"/>
          <w:color w:val="auto"/>
          <w:sz w:val="32"/>
          <w:szCs w:val="32"/>
          <w:highlight w:val="none"/>
          <w:lang w:val="en-US" w:eastAsia="zh-CN"/>
        </w:rPr>
        <w:t>增长</w:t>
      </w:r>
      <w:r>
        <w:rPr>
          <w:rFonts w:hint="eastAsia" w:ascii="Times New Roman" w:hAnsi="Times New Roman" w:eastAsia="仿宋_GB2312" w:cs="Times New Roman"/>
          <w:color w:val="auto"/>
          <w:sz w:val="32"/>
          <w:szCs w:val="32"/>
          <w:highlight w:val="none"/>
        </w:rPr>
        <w:t>379.78%</w:t>
      </w:r>
      <w:r>
        <w:rPr>
          <w:rFonts w:ascii="Times New Roman" w:hAnsi="Times New Roman" w:eastAsia="仿宋_GB2312" w:cs="Times New Roman"/>
          <w:color w:val="auto"/>
          <w:sz w:val="32"/>
          <w:szCs w:val="32"/>
          <w:highlight w:val="none"/>
        </w:rPr>
        <w:t>。其中：</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green"/>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rPr>
        <w:t>27.00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17.98</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66.59%</w:t>
      </w:r>
      <w:r>
        <w:rPr>
          <w:rFonts w:ascii="Times New Roman" w:hAnsi="Times New Roman" w:eastAsia="仿宋_GB2312" w:cs="Times New Roman"/>
          <w:sz w:val="32"/>
          <w:szCs w:val="32"/>
        </w:rPr>
        <w:t>；</w:t>
      </w:r>
      <w:r>
        <w:rPr>
          <w:rFonts w:ascii="Times New Roman" w:hAnsi="Times New Roman" w:eastAsia="仿宋_GB2312" w:cs="Times New Roman"/>
          <w:color w:val="auto"/>
          <w:sz w:val="32"/>
          <w:szCs w:val="32"/>
          <w:highlight w:val="none"/>
        </w:rPr>
        <w:t>与上年相比</w:t>
      </w:r>
      <w:r>
        <w:rPr>
          <w:rFonts w:hint="eastAsia" w:ascii="Times New Roman" w:hAnsi="Times New Roman" w:eastAsia="仿宋_GB2312" w:cs="Times New Roman"/>
          <w:color w:val="auto"/>
          <w:sz w:val="32"/>
          <w:szCs w:val="32"/>
          <w:highlight w:val="none"/>
          <w:lang w:val="en-US" w:eastAsia="zh-CN"/>
        </w:rPr>
        <w:t>增加</w:t>
      </w:r>
      <w:r>
        <w:rPr>
          <w:rFonts w:hint="eastAsia" w:ascii="Times New Roman" w:hAnsi="Times New Roman" w:eastAsia="仿宋_GB2312" w:cs="Times New Roman"/>
          <w:color w:val="auto"/>
          <w:sz w:val="32"/>
          <w:szCs w:val="32"/>
          <w:highlight w:val="none"/>
        </w:rPr>
        <w:t>17.98</w:t>
      </w:r>
      <w:r>
        <w:rPr>
          <w:rFonts w:ascii="Times New Roman" w:hAnsi="Times New Roman" w:eastAsia="仿宋_GB2312" w:cs="Times New Roman"/>
          <w:color w:val="auto"/>
          <w:sz w:val="32"/>
          <w:szCs w:val="32"/>
          <w:highlight w:val="none"/>
        </w:rPr>
        <w:t>万元，</w:t>
      </w:r>
      <w:r>
        <w:rPr>
          <w:rFonts w:hint="eastAsia" w:ascii="Times New Roman" w:hAnsi="Times New Roman" w:eastAsia="仿宋_GB2312" w:cs="Times New Roman"/>
          <w:color w:val="auto"/>
          <w:sz w:val="32"/>
          <w:szCs w:val="32"/>
          <w:highlight w:val="none"/>
          <w:lang w:val="en-US" w:eastAsia="zh-CN"/>
        </w:rPr>
        <w:t>增长100.00</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rPr>
        <w:t>严格执行中央“八项”规定，树立过紧日子的思想，</w:t>
      </w:r>
      <w:r>
        <w:rPr>
          <w:rFonts w:hint="eastAsia" w:ascii="仿宋_GB2312" w:hAnsi="仿宋" w:eastAsia="仿宋_GB2312" w:cs="Times New Roman"/>
          <w:kern w:val="2"/>
          <w:sz w:val="32"/>
          <w:szCs w:val="32"/>
          <w:highlight w:val="none"/>
          <w:lang w:val="en-US" w:eastAsia="zh-CN" w:bidi="ar-SA"/>
        </w:rPr>
        <w:t>省机关事务局出台新政策</w:t>
      </w:r>
      <w:r>
        <w:rPr>
          <w:rFonts w:hint="default" w:ascii="仿宋_GB2312" w:hAnsi="仿宋" w:eastAsia="仿宋_GB2312" w:cs="Times New Roman"/>
          <w:kern w:val="2"/>
          <w:sz w:val="32"/>
          <w:szCs w:val="32"/>
          <w:highlight w:val="none"/>
          <w:lang w:val="en-US" w:eastAsia="zh-CN" w:bidi="ar-SA"/>
        </w:rPr>
        <w:t>，</w:t>
      </w:r>
      <w:r>
        <w:rPr>
          <w:rFonts w:hint="eastAsia" w:ascii="仿宋_GB2312" w:hAnsi="仿宋" w:eastAsia="仿宋_GB2312" w:cs="Times New Roman"/>
          <w:kern w:val="2"/>
          <w:sz w:val="32"/>
          <w:szCs w:val="32"/>
          <w:highlight w:val="none"/>
          <w:lang w:val="en-US" w:eastAsia="zh-CN" w:bidi="ar-SA"/>
        </w:rPr>
        <w:t>公务车辆购置只允许购买纯电车辆，购置费用减少</w:t>
      </w:r>
      <w:r>
        <w:rPr>
          <w:rFonts w:ascii="Times New Roman" w:hAnsi="Times New Roman" w:eastAsia="仿宋_GB2312" w:cs="Times New Roman"/>
          <w:sz w:val="32"/>
          <w:szCs w:val="32"/>
        </w:rPr>
        <w:t>。</w:t>
      </w:r>
      <w:r>
        <w:rPr>
          <w:rFonts w:hint="eastAsia" w:ascii="Times New Roman" w:hAnsi="Times New Roman" w:eastAsia="仿宋_GB2312" w:cs="Times New Roman"/>
          <w:color w:val="auto"/>
          <w:sz w:val="32"/>
          <w:szCs w:val="32"/>
          <w:highlight w:val="none"/>
        </w:rPr>
        <w:t>决算数</w:t>
      </w:r>
      <w:r>
        <w:rPr>
          <w:rFonts w:hint="eastAsia" w:ascii="Times New Roman" w:hAnsi="Times New Roman" w:eastAsia="仿宋_GB2312" w:cs="Times New Roman"/>
          <w:color w:val="auto"/>
          <w:sz w:val="32"/>
          <w:szCs w:val="32"/>
          <w:highlight w:val="none"/>
          <w:lang w:val="en-US" w:eastAsia="zh-CN"/>
        </w:rPr>
        <w:t>大</w:t>
      </w:r>
      <w:r>
        <w:rPr>
          <w:rFonts w:hint="eastAsia" w:ascii="Times New Roman" w:hAnsi="Times New Roman" w:eastAsia="仿宋_GB2312" w:cs="Times New Roman"/>
          <w:color w:val="auto"/>
          <w:sz w:val="32"/>
          <w:szCs w:val="32"/>
          <w:highlight w:val="none"/>
        </w:rPr>
        <w:t>于上年数的主要原因是</w:t>
      </w:r>
      <w:r>
        <w:rPr>
          <w:rFonts w:hint="eastAsia" w:ascii="Times New Roman" w:hAnsi="Times New Roman" w:eastAsia="仿宋_GB2312" w:cs="Times New Roman"/>
          <w:color w:val="auto"/>
          <w:sz w:val="32"/>
          <w:szCs w:val="32"/>
          <w:highlight w:val="none"/>
          <w:lang w:eastAsia="zh-CN"/>
        </w:rPr>
        <w:t>按照省机关事务局政策，购置纯电公务车辆一台，价格为</w:t>
      </w:r>
      <w:r>
        <w:rPr>
          <w:rFonts w:hint="eastAsia" w:ascii="Times New Roman" w:hAnsi="Times New Roman" w:eastAsia="仿宋_GB2312" w:cs="Times New Roman"/>
          <w:color w:val="auto"/>
          <w:sz w:val="32"/>
          <w:szCs w:val="32"/>
          <w:highlight w:val="none"/>
          <w:lang w:val="en-US" w:eastAsia="zh-CN"/>
        </w:rPr>
        <w:t>17.98万元。</w:t>
      </w:r>
      <w:r>
        <w:rPr>
          <w:rFonts w:hint="eastAsia" w:ascii="Times New Roman" w:hAnsi="Times New Roman" w:eastAsia="仿宋_GB2312" w:cs="Times New Roman"/>
          <w:sz w:val="32"/>
          <w:szCs w:val="32"/>
          <w:highlight w:val="none"/>
        </w:rPr>
        <w:t>湖南省网络商品交易监测中心</w:t>
      </w:r>
      <w:r>
        <w:rPr>
          <w:rFonts w:hint="eastAsia" w:ascii="Times New Roman" w:hAnsi="Times New Roman" w:eastAsia="仿宋_GB2312" w:cs="Times New Roman"/>
          <w:sz w:val="32"/>
          <w:szCs w:val="32"/>
          <w:highlight w:val="none"/>
          <w:lang w:eastAsia="zh-CN"/>
        </w:rPr>
        <w:t>本级</w:t>
      </w:r>
      <w:r>
        <w:rPr>
          <w:rFonts w:ascii="Times New Roman" w:hAnsi="Times New Roman" w:eastAsia="仿宋_GB2312" w:cs="Times New Roman"/>
          <w:sz w:val="32"/>
          <w:szCs w:val="32"/>
          <w:highlight w:val="none"/>
        </w:rPr>
        <w:t>更新公务用车</w:t>
      </w:r>
      <w:r>
        <w:rPr>
          <w:rFonts w:hint="eastAsia" w:ascii="Times New Roman" w:hAnsi="Times New Roman" w:eastAsia="仿宋_GB2312" w:cs="Times New Roman"/>
          <w:sz w:val="32"/>
          <w:szCs w:val="32"/>
          <w:highlight w:val="none"/>
          <w:lang w:val="en-US" w:eastAsia="zh-CN"/>
        </w:rPr>
        <w:t>1</w:t>
      </w:r>
      <w:r>
        <w:rPr>
          <w:rFonts w:ascii="Times New Roman" w:hAnsi="Times New Roman" w:eastAsia="仿宋_GB2312" w:cs="Times New Roman"/>
          <w:sz w:val="32"/>
          <w:szCs w:val="32"/>
          <w:highlight w:val="none"/>
        </w:rPr>
        <w:t>辆</w:t>
      </w:r>
      <w:r>
        <w:rPr>
          <w:rFonts w:ascii="Times New Roman" w:hAnsi="Times New Roman" w:eastAsia="仿宋_GB2312" w:cs="Times New Roman"/>
          <w:color w:val="000000" w:themeColor="text1"/>
          <w:sz w:val="32"/>
          <w:szCs w:val="32"/>
          <w:highlight w:val="none"/>
          <w14:textFill>
            <w14:solidFill>
              <w14:schemeClr w14:val="tx1"/>
            </w14:solidFill>
          </w14:textFill>
        </w:rPr>
        <w:t>。</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green"/>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rPr>
        <w:t>5.00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3.61</w:t>
      </w:r>
      <w:r>
        <w:rPr>
          <w:rFonts w:ascii="Times New Roman" w:hAnsi="Times New Roman" w:eastAsia="仿宋_GB2312" w:cs="Times New Roman"/>
          <w:sz w:val="32"/>
          <w:szCs w:val="32"/>
        </w:rPr>
        <w:t>万元，主要是</w:t>
      </w:r>
      <w:r>
        <w:rPr>
          <w:rFonts w:hint="eastAsia" w:ascii="Times New Roman" w:hAnsi="Times New Roman" w:eastAsia="仿宋_GB2312" w:cs="Times New Roman"/>
          <w:sz w:val="32"/>
          <w:szCs w:val="32"/>
        </w:rPr>
        <w:t>车辆油费、维修费用，用车耗损较等</w:t>
      </w:r>
      <w:r>
        <w:rPr>
          <w:rFonts w:ascii="Times New Roman" w:hAnsi="Times New Roman" w:eastAsia="仿宋_GB2312" w:cs="Times New Roman"/>
          <w:sz w:val="32"/>
          <w:szCs w:val="32"/>
        </w:rPr>
        <w:t>支出，完成预算的</w:t>
      </w:r>
      <w:r>
        <w:rPr>
          <w:rFonts w:hint="eastAsia" w:ascii="Times New Roman" w:hAnsi="Times New Roman" w:eastAsia="仿宋_GB2312" w:cs="Times New Roman"/>
          <w:sz w:val="32"/>
          <w:szCs w:val="32"/>
        </w:rPr>
        <w:t>72.20%</w:t>
      </w:r>
      <w:r>
        <w:rPr>
          <w:rFonts w:ascii="Times New Roman" w:hAnsi="Times New Roman" w:eastAsia="仿宋_GB2312" w:cs="Times New Roman"/>
          <w:sz w:val="32"/>
          <w:szCs w:val="32"/>
        </w:rPr>
        <w:t>；</w:t>
      </w:r>
      <w:r>
        <w:rPr>
          <w:rFonts w:ascii="Times New Roman" w:hAnsi="Times New Roman" w:eastAsia="仿宋_GB2312" w:cs="Times New Roman"/>
          <w:color w:val="auto"/>
          <w:sz w:val="32"/>
          <w:szCs w:val="32"/>
          <w:highlight w:val="none"/>
        </w:rPr>
        <w:t>与上年相比减少</w:t>
      </w:r>
      <w:r>
        <w:rPr>
          <w:rFonts w:hint="eastAsia" w:ascii="Times New Roman" w:hAnsi="Times New Roman" w:eastAsia="仿宋_GB2312" w:cs="Times New Roman"/>
          <w:color w:val="auto"/>
          <w:sz w:val="32"/>
          <w:szCs w:val="32"/>
          <w:highlight w:val="none"/>
          <w:lang w:val="en-US" w:eastAsia="zh-CN"/>
        </w:rPr>
        <w:t>0.89</w:t>
      </w:r>
      <w:r>
        <w:rPr>
          <w:rFonts w:ascii="Times New Roman" w:hAnsi="Times New Roman" w:eastAsia="仿宋_GB2312" w:cs="Times New Roman"/>
          <w:color w:val="auto"/>
          <w:sz w:val="32"/>
          <w:szCs w:val="32"/>
          <w:highlight w:val="none"/>
        </w:rPr>
        <w:t>万元，降低</w:t>
      </w:r>
      <w:r>
        <w:rPr>
          <w:rFonts w:hint="eastAsia" w:ascii="Times New Roman" w:hAnsi="Times New Roman" w:eastAsia="仿宋_GB2312" w:cs="Times New Roman"/>
          <w:color w:val="auto"/>
          <w:sz w:val="32"/>
          <w:szCs w:val="32"/>
          <w:highlight w:val="none"/>
        </w:rPr>
        <w:t>19.78%</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rPr>
        <w:t>严格执行中央“八项”规定，树立过紧日子的思想，严格“三公”经费支出</w:t>
      </w:r>
      <w:r>
        <w:rPr>
          <w:rFonts w:ascii="Times New Roman" w:hAnsi="Times New Roman" w:eastAsia="仿宋_GB2312" w:cs="Times New Roman"/>
          <w:sz w:val="32"/>
          <w:szCs w:val="32"/>
        </w:rPr>
        <w:t>。决算数小于上年</w:t>
      </w:r>
      <w:r>
        <w:rPr>
          <w:rFonts w:ascii="Times New Roman" w:hAnsi="Times New Roman" w:eastAsia="仿宋_GB2312" w:cs="Times New Roman"/>
          <w:sz w:val="32"/>
          <w:szCs w:val="32"/>
          <w:highlight w:val="none"/>
        </w:rPr>
        <w:t>数的主要原因是</w:t>
      </w:r>
      <w:r>
        <w:rPr>
          <w:rFonts w:hint="eastAsia" w:ascii="Times New Roman" w:hAnsi="Times New Roman" w:eastAsia="仿宋_GB2312" w:cs="Times New Roman"/>
          <w:sz w:val="32"/>
          <w:szCs w:val="32"/>
          <w:highlight w:val="none"/>
          <w:lang w:val="en-US" w:eastAsia="zh-CN"/>
        </w:rPr>
        <w:t>厉行节约，严格控制“三公”经费支出</w:t>
      </w:r>
      <w:r>
        <w:rPr>
          <w:rFonts w:ascii="Times New Roman" w:hAnsi="Times New Roman" w:eastAsia="仿宋_GB2312" w:cs="Times New Roman"/>
          <w:sz w:val="32"/>
          <w:szCs w:val="32"/>
          <w:highlight w:val="none"/>
        </w:rPr>
        <w:t>。截止2024年12月31日，我单位开支财政拨款的公务用车保有量为</w:t>
      </w:r>
      <w:r>
        <w:rPr>
          <w:rFonts w:hint="eastAsia" w:ascii="Times New Roman" w:hAnsi="Times New Roman" w:eastAsia="仿宋_GB2312" w:cs="Times New Roman"/>
          <w:sz w:val="32"/>
          <w:szCs w:val="32"/>
          <w:highlight w:val="none"/>
          <w:lang w:val="en-US" w:eastAsia="zh-CN"/>
        </w:rPr>
        <w:t>1</w:t>
      </w:r>
      <w:r>
        <w:rPr>
          <w:rFonts w:ascii="Times New Roman" w:hAnsi="Times New Roman" w:eastAsia="仿宋_GB2312" w:cs="Times New Roman"/>
          <w:sz w:val="32"/>
          <w:szCs w:val="32"/>
          <w:highlight w:val="none"/>
        </w:rPr>
        <w:t>辆。</w:t>
      </w:r>
    </w:p>
    <w:p>
      <w:pPr>
        <w:pStyle w:val="18"/>
        <w:overflowPunct w:val="0"/>
        <w:autoSpaceDE/>
        <w:autoSpaceDN/>
        <w:spacing w:line="600" w:lineRule="exact"/>
        <w:ind w:firstLine="640" w:firstLineChars="200"/>
        <w:jc w:val="both"/>
        <w:rPr>
          <w:rFonts w:ascii="Times New Roman" w:hAnsi="Times New Roman" w:eastAsia="仿宋_GB2312" w:cs="Times New Roman"/>
          <w:color w:val="auto"/>
          <w:sz w:val="32"/>
          <w:szCs w:val="32"/>
          <w:highlight w:val="none"/>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rPr>
        <w:t>0.60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0.11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rPr>
        <w:t>18.33%</w:t>
      </w:r>
      <w:r>
        <w:rPr>
          <w:rFonts w:ascii="Times New Roman" w:hAnsi="Times New Roman" w:eastAsia="仿宋_GB2312" w:cs="Times New Roman"/>
          <w:sz w:val="32"/>
          <w:szCs w:val="32"/>
        </w:rPr>
        <w:t>；</w:t>
      </w:r>
      <w:r>
        <w:rPr>
          <w:rFonts w:ascii="Times New Roman" w:hAnsi="Times New Roman" w:eastAsia="仿宋_GB2312" w:cs="Times New Roman"/>
          <w:color w:val="auto"/>
          <w:sz w:val="32"/>
          <w:szCs w:val="32"/>
          <w:highlight w:val="none"/>
        </w:rPr>
        <w:t>与上年相比减少</w:t>
      </w:r>
      <w:r>
        <w:rPr>
          <w:rFonts w:hint="eastAsia" w:ascii="Times New Roman" w:hAnsi="Times New Roman" w:eastAsia="仿宋_GB2312" w:cs="Times New Roman"/>
          <w:color w:val="auto"/>
          <w:sz w:val="32"/>
          <w:szCs w:val="32"/>
          <w:highlight w:val="none"/>
        </w:rPr>
        <w:t>0.25</w:t>
      </w:r>
      <w:r>
        <w:rPr>
          <w:rFonts w:ascii="Times New Roman" w:hAnsi="Times New Roman" w:eastAsia="仿宋_GB2312" w:cs="Times New Roman"/>
          <w:color w:val="auto"/>
          <w:sz w:val="32"/>
          <w:szCs w:val="32"/>
          <w:highlight w:val="none"/>
        </w:rPr>
        <w:t>万元，降低</w:t>
      </w:r>
      <w:r>
        <w:rPr>
          <w:rFonts w:hint="eastAsia" w:ascii="Times New Roman" w:hAnsi="Times New Roman" w:eastAsia="仿宋_GB2312" w:cs="Times New Roman"/>
          <w:color w:val="auto"/>
          <w:sz w:val="32"/>
          <w:szCs w:val="32"/>
          <w:highlight w:val="none"/>
        </w:rPr>
        <w:t>69.44%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rPr>
        <w:t>严格执行中央“八项”规定，树立过紧日子的思想，严格“三公”经费支出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决算数小于上年数的主要原因是厉行节约，严格控制“三公”经费支出</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27</w:t>
      </w:r>
      <w:r>
        <w:rPr>
          <w:rFonts w:ascii="Times New Roman" w:hAnsi="Times New Roman" w:eastAsia="仿宋_GB2312" w:cs="Times New Roman"/>
          <w:sz w:val="32"/>
          <w:szCs w:val="32"/>
        </w:rPr>
        <w:t>人次，</w:t>
      </w:r>
      <w:r>
        <w:rPr>
          <w:rFonts w:ascii="Times New Roman" w:hAnsi="Times New Roman" w:eastAsia="仿宋_GB2312" w:cs="Times New Roman"/>
          <w:color w:val="auto"/>
          <w:sz w:val="32"/>
          <w:szCs w:val="32"/>
          <w:highlight w:val="none"/>
        </w:rPr>
        <w:t>主要是</w:t>
      </w:r>
      <w:r>
        <w:rPr>
          <w:rFonts w:hint="eastAsia" w:ascii="Times New Roman" w:hAnsi="Times New Roman" w:eastAsia="仿宋_GB2312" w:cs="Times New Roman"/>
          <w:color w:val="auto"/>
          <w:sz w:val="32"/>
          <w:szCs w:val="32"/>
          <w:highlight w:val="none"/>
          <w:lang w:eastAsia="zh-CN"/>
        </w:rPr>
        <w:t>加班调研</w:t>
      </w:r>
      <w:r>
        <w:rPr>
          <w:rFonts w:hint="eastAsia" w:ascii="Times New Roman" w:hAnsi="Times New Roman" w:eastAsia="仿宋_GB2312" w:cs="Times New Roman"/>
          <w:color w:val="auto"/>
          <w:sz w:val="32"/>
          <w:szCs w:val="32"/>
          <w:highlight w:val="none"/>
        </w:rPr>
        <w:t>网络市场监测情况等发生的</w:t>
      </w:r>
      <w:r>
        <w:rPr>
          <w:rFonts w:hint="eastAsia" w:ascii="Times New Roman" w:hAnsi="Times New Roman" w:eastAsia="仿宋_GB2312" w:cs="Times New Roman"/>
          <w:color w:val="auto"/>
          <w:sz w:val="32"/>
          <w:szCs w:val="32"/>
          <w:highlight w:val="none"/>
          <w:lang w:eastAsia="zh-CN"/>
        </w:rPr>
        <w:t>接待</w:t>
      </w:r>
      <w:r>
        <w:rPr>
          <w:rFonts w:hint="eastAsia" w:ascii="Times New Roman" w:hAnsi="Times New Roman" w:eastAsia="仿宋_GB2312" w:cs="Times New Roman"/>
          <w:color w:val="auto"/>
          <w:sz w:val="32"/>
          <w:szCs w:val="32"/>
          <w:highlight w:val="none"/>
        </w:rPr>
        <w:t>支出</w:t>
      </w:r>
      <w:r>
        <w:rPr>
          <w:rFonts w:ascii="Times New Roman" w:hAnsi="Times New Roman" w:eastAsia="仿宋_GB2312" w:cs="Times New Roman"/>
          <w:color w:val="auto"/>
          <w:sz w:val="32"/>
          <w:szCs w:val="32"/>
          <w:highlight w:val="none"/>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湖南省网络商品交易监测中心</w:t>
      </w:r>
      <w:r>
        <w:rPr>
          <w:rFonts w:hint="eastAsia" w:ascii="Times New Roman" w:hAnsi="Times New Roman" w:eastAsia="仿宋_GB2312" w:cs="Times New Roman"/>
          <w:sz w:val="32"/>
          <w:szCs w:val="32"/>
          <w:lang w:val="en-US" w:eastAsia="zh-CN"/>
        </w:rPr>
        <w:t>2024</w:t>
      </w:r>
      <w:r>
        <w:rPr>
          <w:rFonts w:hint="eastAsia" w:ascii="Times New Roman" w:hAnsi="Times New Roman" w:eastAsia="仿宋_GB2312" w:cs="Times New Roman"/>
          <w:sz w:val="32"/>
          <w:szCs w:val="32"/>
        </w:rPr>
        <w:t>年度没有政府性基金收入，也没有使用政府性基金安排的支出，并已公开空表。</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cs="Times New Roman"/>
          <w:sz w:val="32"/>
          <w:szCs w:val="32"/>
        </w:rPr>
        <w:t>112.93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较</w:t>
      </w:r>
      <w:r>
        <w:rPr>
          <w:rFonts w:hint="eastAsia" w:ascii="Times New Roman" w:hAnsi="Times New Roman" w:eastAsia="仿宋_GB2312" w:cs="Times New Roman"/>
          <w:sz w:val="32"/>
          <w:szCs w:val="32"/>
          <w:lang w:val="en-US" w:eastAsia="zh-CN"/>
        </w:rPr>
        <w:tab/>
      </w:r>
      <w:r>
        <w:rPr>
          <w:rFonts w:ascii="Times New Roman" w:hAnsi="Times New Roman" w:eastAsia="仿宋_GB2312" w:cs="Times New Roman"/>
          <w:sz w:val="32"/>
          <w:szCs w:val="32"/>
        </w:rPr>
        <w:t>上年决算数增加</w:t>
      </w:r>
      <w:r>
        <w:rPr>
          <w:rFonts w:hint="eastAsia" w:ascii="Times New Roman" w:hAnsi="Times New Roman" w:eastAsia="仿宋_GB2312" w:cs="Times New Roman"/>
          <w:sz w:val="32"/>
          <w:szCs w:val="32"/>
          <w:lang w:val="en-US" w:eastAsia="zh-CN"/>
        </w:rPr>
        <w:t>46.07</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rPr>
        <w:t>68.91%</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增加了网络交易监测数据服务费、编制外专技人员劳务费、培训费等。</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2024年本部门开支会议费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用于召开0场会议，人数0人，内容为无</w:t>
      </w:r>
      <w:r>
        <w:rPr>
          <w:rFonts w:ascii="Times New Roman" w:hAnsi="Times New Roman" w:eastAsia="仿宋_GB2312" w:cs="Times New Roman"/>
          <w:sz w:val="32"/>
          <w:szCs w:val="32"/>
        </w:rPr>
        <w:t>；开支培训费</w:t>
      </w:r>
      <w:r>
        <w:rPr>
          <w:rFonts w:hint="eastAsia" w:ascii="Times New Roman" w:hAnsi="Times New Roman" w:eastAsia="仿宋_GB2312" w:cs="Times New Roman"/>
          <w:sz w:val="32"/>
          <w:szCs w:val="32"/>
        </w:rPr>
        <w:t>9.33</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highlight w:val="none"/>
        </w:rPr>
        <w:t>用于</w:t>
      </w:r>
      <w:r>
        <w:rPr>
          <w:rFonts w:hint="eastAsia" w:ascii="Times New Roman" w:hAnsi="Times New Roman" w:eastAsia="仿宋_GB2312" w:cs="Times New Roman"/>
          <w:color w:val="auto"/>
          <w:sz w:val="32"/>
          <w:szCs w:val="32"/>
          <w:highlight w:val="none"/>
          <w:lang w:val="en-US" w:eastAsia="zh-CN"/>
        </w:rPr>
        <w:t>开展干部综合能力提升、网络交易监测能力提升</w:t>
      </w:r>
      <w:r>
        <w:rPr>
          <w:rFonts w:hint="eastAsia" w:ascii="Times New Roman" w:hAnsi="Times New Roman" w:eastAsia="仿宋_GB2312" w:cs="Times New Roman"/>
          <w:color w:val="auto"/>
          <w:sz w:val="32"/>
          <w:szCs w:val="32"/>
          <w:highlight w:val="none"/>
        </w:rPr>
        <w:t>等</w:t>
      </w:r>
      <w:r>
        <w:rPr>
          <w:rFonts w:hint="eastAsia" w:ascii="Times New Roman" w:hAnsi="Times New Roman" w:eastAsia="仿宋_GB2312" w:cs="Times New Roman"/>
          <w:color w:val="auto"/>
          <w:sz w:val="32"/>
          <w:szCs w:val="32"/>
          <w:highlight w:val="none"/>
          <w:lang w:eastAsia="zh-CN"/>
        </w:rPr>
        <w:t>培训</w:t>
      </w:r>
      <w:r>
        <w:rPr>
          <w:rFonts w:ascii="Times New Roman" w:hAnsi="Times New Roman" w:eastAsia="仿宋_GB2312" w:cs="Times New Roman"/>
          <w:color w:val="auto"/>
          <w:sz w:val="32"/>
          <w:szCs w:val="32"/>
          <w:highlight w:val="none"/>
        </w:rPr>
        <w:t>，人数</w:t>
      </w:r>
      <w:r>
        <w:rPr>
          <w:rFonts w:hint="eastAsia" w:ascii="Times New Roman" w:hAnsi="Times New Roman" w:eastAsia="仿宋_GB2312" w:cs="Times New Roman"/>
          <w:color w:val="auto"/>
          <w:sz w:val="32"/>
          <w:szCs w:val="32"/>
          <w:highlight w:val="none"/>
          <w:lang w:val="en-US" w:eastAsia="zh-CN"/>
        </w:rPr>
        <w:t>33</w:t>
      </w:r>
      <w:r>
        <w:rPr>
          <w:rFonts w:ascii="Times New Roman" w:hAnsi="Times New Roman" w:eastAsia="仿宋_GB2312" w:cs="Times New Roman"/>
          <w:color w:val="auto"/>
          <w:sz w:val="32"/>
          <w:szCs w:val="32"/>
          <w:highlight w:val="none"/>
        </w:rPr>
        <w:t>人，内容为</w:t>
      </w:r>
      <w:r>
        <w:rPr>
          <w:rFonts w:hint="eastAsia" w:ascii="Times New Roman" w:hAnsi="Times New Roman" w:eastAsia="仿宋_GB2312" w:cs="Times New Roman"/>
          <w:color w:val="auto"/>
          <w:sz w:val="32"/>
          <w:szCs w:val="32"/>
          <w:highlight w:val="none"/>
        </w:rPr>
        <w:t>事业单位各项法律法规、网络交易监测实操应用、电子数据取证及固证等；</w:t>
      </w:r>
      <w:r>
        <w:rPr>
          <w:rFonts w:hint="eastAsia" w:ascii="Times New Roman" w:hAnsi="Times New Roman" w:eastAsia="仿宋_GB2312" w:cs="Times New Roman"/>
          <w:sz w:val="32"/>
          <w:szCs w:val="32"/>
        </w:rPr>
        <w:t>未举办节庆、晚会、论坛、赛事等，开支0万元</w:t>
      </w:r>
      <w:r>
        <w:rPr>
          <w:rFonts w:ascii="Times New Roman" w:hAnsi="Times New Roman" w:eastAsia="仿宋_GB2312" w:cs="Times New Roman"/>
          <w:sz w:val="32"/>
          <w:szCs w:val="32"/>
        </w:rPr>
        <w:t>。</w:t>
      </w:r>
    </w:p>
    <w:p>
      <w:pPr>
        <w:pStyle w:val="18"/>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pPr>
        <w:pStyle w:val="18"/>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本部门2024年度政府采购支出总额</w:t>
      </w:r>
      <w:r>
        <w:rPr>
          <w:rFonts w:hint="eastAsia" w:ascii="Times New Roman" w:hAnsi="Times New Roman" w:eastAsia="仿宋_GB2312" w:cs="Times New Roman"/>
          <w:sz w:val="32"/>
          <w:szCs w:val="32"/>
          <w:lang w:val="en-US" w:eastAsia="zh-CN"/>
        </w:rPr>
        <w:t>94.30</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33.26</w:t>
      </w:r>
      <w:r>
        <w:rPr>
          <w:rFonts w:ascii="Times New Roman" w:hAnsi="Times New Roman" w:eastAsia="仿宋_GB2312" w:cs="Times New Roman"/>
          <w:sz w:val="32"/>
          <w:szCs w:val="32"/>
        </w:rPr>
        <w:t xml:space="preserve"> 万元、政府采购工程支出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61.04</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rPr>
        <w:t>94.30</w:t>
      </w:r>
      <w:r>
        <w:rPr>
          <w:rFonts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lang w:val="en-US" w:eastAsia="zh-CN"/>
        </w:rPr>
        <w:t>100.00</w:t>
      </w:r>
      <w:r>
        <w:rPr>
          <w:rFonts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rPr>
        <w:t>94.30</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100.00</w:t>
      </w:r>
      <w:r>
        <w:rPr>
          <w:rFonts w:ascii="Times New Roman" w:hAnsi="Times New Roman" w:eastAsia="仿宋_GB2312" w:cs="Times New Roman"/>
          <w:color w:val="auto"/>
          <w:sz w:val="32"/>
          <w:szCs w:val="32"/>
        </w:rPr>
        <w:t>%。货物采购授予中小企业合同金额占货物支出金额的</w:t>
      </w:r>
      <w:r>
        <w:rPr>
          <w:rFonts w:hint="eastAsia" w:ascii="Times New Roman" w:hAnsi="Times New Roman" w:eastAsia="仿宋_GB2312" w:cs="Times New Roman"/>
          <w:color w:val="auto"/>
          <w:sz w:val="32"/>
          <w:szCs w:val="32"/>
        </w:rPr>
        <w:t>100.00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工程采购授予中小企业合同金额占工程支出金额的百分比无法计算，原因是政府采购工程支出金额为0万元</w:t>
      </w:r>
      <w:r>
        <w:rPr>
          <w:rFonts w:ascii="Times New Roman" w:hAnsi="Times New Roman" w:eastAsia="仿宋_GB2312" w:cs="Times New Roman"/>
          <w:color w:val="auto"/>
          <w:sz w:val="32"/>
          <w:szCs w:val="32"/>
        </w:rPr>
        <w:t>，服务采购授予中小企业合同金额占服务支出金额的</w:t>
      </w:r>
      <w:r>
        <w:rPr>
          <w:rFonts w:hint="eastAsia" w:ascii="Times New Roman" w:hAnsi="Times New Roman" w:eastAsia="仿宋_GB2312" w:cs="Times New Roman"/>
          <w:color w:val="auto"/>
          <w:sz w:val="32"/>
          <w:szCs w:val="32"/>
        </w:rPr>
        <w:t>100.00</w:t>
      </w:r>
      <w:r>
        <w:rPr>
          <w:rFonts w:ascii="Times New Roman" w:hAnsi="Times New Roman" w:eastAsia="仿宋_GB2312" w:cs="Times New Roman"/>
          <w:color w:val="auto"/>
          <w:sz w:val="32"/>
          <w:szCs w:val="32"/>
        </w:rPr>
        <w:t>%。</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截至2024年12月31日，部门（单位）共有车辆</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辆，其他用车主要是</w:t>
      </w:r>
      <w:r>
        <w:rPr>
          <w:rFonts w:hint="eastAsia" w:ascii="Times New Roman" w:hAnsi="Times New Roman" w:eastAsia="仿宋_GB2312" w:cs="Times New Roman"/>
          <w:color w:val="auto"/>
          <w:sz w:val="32"/>
          <w:szCs w:val="32"/>
        </w:rPr>
        <w:t>一般公务用车</w:t>
      </w:r>
      <w:r>
        <w:rPr>
          <w:rFonts w:ascii="Times New Roman" w:hAnsi="Times New Roman" w:eastAsia="仿宋_GB2312" w:cs="Times New Roman"/>
          <w:color w:val="auto"/>
          <w:sz w:val="32"/>
          <w:szCs w:val="32"/>
        </w:rPr>
        <w:t>；单位价值100万元以上设备（不含车辆）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pPr>
        <w:overflowPunct w:val="0"/>
        <w:spacing w:line="600" w:lineRule="exact"/>
        <w:ind w:firstLine="640"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（一）绩效评价工作开展情况。</w:t>
      </w:r>
    </w:p>
    <w:p>
      <w:pPr>
        <w:overflowPunct w:val="0"/>
        <w:spacing w:line="600" w:lineRule="exact"/>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根据预算绩效管理要求，我单位组织对2024年度本单位整体支出开展绩效评价，</w:t>
      </w:r>
      <w:r>
        <w:rPr>
          <w:rFonts w:ascii="Times New Roman" w:hAnsi="Times New Roman" w:eastAsia="仿宋_GB2312" w:cs="Times New Roman"/>
          <w:color w:val="auto"/>
          <w:kern w:val="0"/>
          <w:sz w:val="32"/>
          <w:szCs w:val="32"/>
          <w:highlight w:val="none"/>
        </w:rPr>
        <w:t>涉及项目</w:t>
      </w:r>
      <w:r>
        <w:rPr>
          <w:rFonts w:hint="eastAsia" w:ascii="Times New Roman" w:hAnsi="Times New Roman" w:eastAsia="仿宋_GB2312" w:cs="Times New Roman"/>
          <w:color w:val="auto"/>
          <w:kern w:val="0"/>
          <w:sz w:val="32"/>
          <w:szCs w:val="32"/>
          <w:highlight w:val="none"/>
          <w:lang w:val="en-US" w:eastAsia="zh-CN"/>
        </w:rPr>
        <w:t>2</w:t>
      </w:r>
      <w:r>
        <w:rPr>
          <w:rFonts w:ascii="Times New Roman" w:hAnsi="Times New Roman" w:eastAsia="仿宋_GB2312" w:cs="Times New Roman"/>
          <w:color w:val="auto"/>
          <w:kern w:val="0"/>
          <w:sz w:val="32"/>
          <w:szCs w:val="32"/>
          <w:highlight w:val="none"/>
        </w:rPr>
        <w:t>个，共涉及资金</w:t>
      </w:r>
      <w:r>
        <w:rPr>
          <w:rFonts w:hint="eastAsia" w:ascii="Times New Roman" w:hAnsi="Times New Roman" w:eastAsia="仿宋_GB2312" w:cs="Times New Roman"/>
          <w:color w:val="auto"/>
          <w:kern w:val="0"/>
          <w:sz w:val="32"/>
          <w:szCs w:val="32"/>
          <w:highlight w:val="none"/>
          <w:lang w:val="en-US" w:eastAsia="zh-CN"/>
        </w:rPr>
        <w:t>64.5</w:t>
      </w:r>
      <w:r>
        <w:rPr>
          <w:rFonts w:ascii="Times New Roman" w:hAnsi="Times New Roman" w:eastAsia="仿宋_GB2312" w:cs="Times New Roman"/>
          <w:color w:val="auto"/>
          <w:kern w:val="0"/>
          <w:sz w:val="32"/>
          <w:szCs w:val="32"/>
          <w:highlight w:val="none"/>
        </w:rPr>
        <w:t>万元。其中，一般公共预算项目</w:t>
      </w:r>
      <w:r>
        <w:rPr>
          <w:rFonts w:hint="eastAsia" w:ascii="Times New Roman" w:hAnsi="Times New Roman" w:eastAsia="仿宋_GB2312" w:cs="Times New Roman"/>
          <w:color w:val="auto"/>
          <w:kern w:val="0"/>
          <w:sz w:val="32"/>
          <w:szCs w:val="32"/>
          <w:highlight w:val="none"/>
          <w:lang w:val="en-US" w:eastAsia="zh-CN"/>
        </w:rPr>
        <w:t>2</w:t>
      </w:r>
      <w:r>
        <w:rPr>
          <w:rFonts w:ascii="Times New Roman" w:hAnsi="Times New Roman" w:eastAsia="仿宋_GB2312" w:cs="Times New Roman"/>
          <w:color w:val="auto"/>
          <w:kern w:val="0"/>
          <w:sz w:val="32"/>
          <w:szCs w:val="32"/>
          <w:highlight w:val="none"/>
        </w:rPr>
        <w:t>个</w:t>
      </w:r>
      <w:r>
        <w:rPr>
          <w:rFonts w:hint="eastAsia" w:ascii="Times New Roman" w:hAnsi="Times New Roman" w:eastAsia="仿宋_GB2312" w:cs="Times New Roman"/>
          <w:color w:val="auto"/>
          <w:kern w:val="0"/>
          <w:sz w:val="32"/>
          <w:szCs w:val="32"/>
          <w:highlight w:val="none"/>
          <w:lang w:val="en-US" w:eastAsia="zh-CN"/>
        </w:rPr>
        <w:t>64.5</w:t>
      </w:r>
      <w:r>
        <w:rPr>
          <w:rFonts w:ascii="Times New Roman" w:hAnsi="Times New Roman" w:eastAsia="仿宋_GB2312" w:cs="Times New Roman"/>
          <w:color w:val="auto"/>
          <w:kern w:val="0"/>
          <w:sz w:val="32"/>
          <w:szCs w:val="32"/>
          <w:highlight w:val="none"/>
        </w:rPr>
        <w:t>万元</w:t>
      </w:r>
      <w:r>
        <w:rPr>
          <w:rFonts w:ascii="Times New Roman" w:hAnsi="Times New Roman" w:eastAsia="仿宋_GB2312" w:cs="Times New Roman"/>
          <w:color w:val="auto"/>
          <w:kern w:val="0"/>
          <w:sz w:val="32"/>
          <w:szCs w:val="32"/>
        </w:rPr>
        <w:t>，占一般公共预算支出总额的</w:t>
      </w:r>
      <w:r>
        <w:rPr>
          <w:rFonts w:hint="eastAsia" w:ascii="Times New Roman" w:hAnsi="Times New Roman" w:eastAsia="仿宋_GB2312" w:cs="Times New Roman"/>
          <w:color w:val="auto"/>
          <w:kern w:val="0"/>
          <w:sz w:val="32"/>
          <w:szCs w:val="32"/>
          <w:lang w:val="en-US" w:eastAsia="zh-CN"/>
        </w:rPr>
        <w:t>100</w:t>
      </w:r>
      <w:r>
        <w:rPr>
          <w:rFonts w:ascii="Times New Roman" w:hAnsi="Times New Roman" w:eastAsia="仿宋_GB2312" w:cs="Times New Roman"/>
          <w:color w:val="auto"/>
          <w:kern w:val="0"/>
          <w:sz w:val="32"/>
          <w:szCs w:val="32"/>
        </w:rPr>
        <w:t>%；政府性基金预算项目</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万元，占政府性基金预算支出总额的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%；国有资本经营预算项目</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万元，占国有资本经营预算支出总额的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%；社会保险基金预算项目</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万元，占社会保险基金预算支出总额的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bidi="ar-SA"/>
        </w:rPr>
        <w:t>从评价情况来看湖南省网络商品交易监测中心较好完成了“保人员，保运转”的绩效目标。</w:t>
      </w:r>
    </w:p>
    <w:p>
      <w:pPr>
        <w:overflowPunct w:val="0"/>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楷体_GB2312" w:cs="Times New Roman"/>
          <w:b/>
          <w:bCs/>
          <w:sz w:val="32"/>
          <w:szCs w:val="32"/>
        </w:rPr>
        <w:t>（二）绩效评价结果。</w:t>
      </w:r>
    </w:p>
    <w:p>
      <w:pPr>
        <w:overflowPunct w:val="0"/>
        <w:spacing w:line="600" w:lineRule="exact"/>
        <w:ind w:firstLine="640" w:firstLineChars="200"/>
        <w:rPr>
          <w:rFonts w:hint="eastAsia"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rPr>
        <w:t>2024年度本单位整体支出</w:t>
      </w:r>
      <w:r>
        <w:rPr>
          <w:rFonts w:ascii="Times New Roman" w:hAnsi="Times New Roman" w:eastAsia="仿宋_GB2312" w:cs="Times New Roman"/>
          <w:color w:val="auto"/>
          <w:sz w:val="32"/>
          <w:szCs w:val="32"/>
        </w:rPr>
        <w:t>全年预算数</w:t>
      </w:r>
      <w:r>
        <w:rPr>
          <w:rFonts w:hint="eastAsia" w:ascii="Times New Roman" w:hAnsi="Times New Roman" w:eastAsia="仿宋_GB2312" w:cs="Times New Roman"/>
          <w:color w:val="auto"/>
          <w:kern w:val="0"/>
          <w:sz w:val="32"/>
          <w:szCs w:val="32"/>
          <w:lang w:val="en-US" w:eastAsia="zh-CN" w:bidi="ar-SA"/>
        </w:rPr>
        <w:t>768.80</w:t>
      </w:r>
      <w:r>
        <w:rPr>
          <w:rFonts w:ascii="Times New Roman" w:hAnsi="Times New Roman" w:eastAsia="仿宋_GB2312" w:cs="Times New Roman"/>
          <w:color w:val="auto"/>
          <w:sz w:val="32"/>
          <w:szCs w:val="32"/>
        </w:rPr>
        <w:t>万元，执行数</w:t>
      </w:r>
      <w:r>
        <w:rPr>
          <w:rFonts w:hint="eastAsia" w:ascii="Times New Roman" w:hAnsi="Times New Roman" w:eastAsia="仿宋_GB2312" w:cs="Times New Roman"/>
          <w:color w:val="auto"/>
          <w:kern w:val="0"/>
          <w:sz w:val="32"/>
          <w:szCs w:val="32"/>
          <w:lang w:val="en-US" w:eastAsia="zh-CN" w:bidi="ar-SA"/>
        </w:rPr>
        <w:t>741.53</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lang w:val="en-US" w:eastAsia="zh-CN"/>
        </w:rPr>
        <w:t>96.45</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0"/>
          <w:sz w:val="32"/>
          <w:szCs w:val="32"/>
        </w:rPr>
        <w:t>，绩效自评得分</w:t>
      </w:r>
      <w:r>
        <w:rPr>
          <w:rFonts w:hint="eastAsia" w:ascii="Times New Roman" w:hAnsi="Times New Roman" w:eastAsia="仿宋_GB2312" w:cs="Times New Roman"/>
          <w:color w:val="auto"/>
          <w:sz w:val="32"/>
          <w:szCs w:val="32"/>
          <w:lang w:val="en-US" w:eastAsia="zh-CN"/>
        </w:rPr>
        <w:t>98</w:t>
      </w:r>
      <w:r>
        <w:rPr>
          <w:rFonts w:ascii="Times New Roman" w:hAnsi="Times New Roman" w:eastAsia="仿宋_GB2312" w:cs="Times New Roman"/>
          <w:color w:val="auto"/>
          <w:sz w:val="32"/>
          <w:szCs w:val="32"/>
        </w:rPr>
        <w:t>分</w:t>
      </w:r>
      <w:r>
        <w:rPr>
          <w:rFonts w:ascii="Times New Roman" w:hAnsi="Times New Roman" w:eastAsia="仿宋_GB2312" w:cs="Times New Roman"/>
          <w:color w:val="auto"/>
          <w:kern w:val="0"/>
          <w:sz w:val="32"/>
          <w:szCs w:val="32"/>
        </w:rPr>
        <w:t>，评价等级为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优秀</w:t>
      </w:r>
      <w:r>
        <w:rPr>
          <w:rFonts w:ascii="Times New Roman" w:hAnsi="Times New Roman" w:eastAsia="仿宋_GB2312" w:cs="Times New Roman"/>
          <w:color w:val="auto"/>
          <w:sz w:val="32"/>
          <w:szCs w:val="32"/>
        </w:rPr>
        <w:t>”。绩效目标完成情况：</w:t>
      </w:r>
      <w:r>
        <w:rPr>
          <w:rFonts w:ascii="Times New Roman" w:hAnsi="Times New Roman" w:eastAsia="仿宋_GB2312" w:cs="Times New Roman"/>
          <w:b w:val="0"/>
          <w:bCs w:val="0"/>
          <w:color w:val="auto"/>
          <w:sz w:val="32"/>
          <w:szCs w:val="32"/>
        </w:rPr>
        <w:t>一是</w:t>
      </w:r>
      <w:r>
        <w:rPr>
          <w:rFonts w:hint="eastAsia" w:ascii="仿宋" w:hAnsi="仿宋" w:eastAsia="仿宋" w:cs="仿宋"/>
          <w:b w:val="0"/>
          <w:bCs w:val="0"/>
          <w:color w:val="auto"/>
          <w:sz w:val="32"/>
          <w:szCs w:val="32"/>
          <w:shd w:val="clear" w:color="auto" w:fill="FFFFFF"/>
        </w:rPr>
        <w:t>深化政治引领，巩固政治共识</w:t>
      </w:r>
      <w:r>
        <w:rPr>
          <w:rFonts w:ascii="Times New Roman" w:hAnsi="Times New Roman" w:eastAsia="仿宋_GB2312" w:cs="Times New Roman"/>
          <w:b w:val="0"/>
          <w:bCs w:val="0"/>
          <w:color w:val="auto"/>
          <w:sz w:val="32"/>
          <w:szCs w:val="32"/>
        </w:rPr>
        <w:t>；二是</w:t>
      </w:r>
      <w:r>
        <w:rPr>
          <w:rFonts w:hint="eastAsia" w:ascii="仿宋" w:hAnsi="仿宋" w:eastAsia="仿宋" w:cs="仿宋"/>
          <w:b w:val="0"/>
          <w:bCs w:val="0"/>
          <w:color w:val="auto"/>
          <w:sz w:val="32"/>
          <w:szCs w:val="32"/>
          <w:shd w:val="clear" w:color="auto" w:fill="FFFFFF"/>
        </w:rPr>
        <w:t>规范运行管理，汇聚发展合力</w:t>
      </w:r>
      <w:r>
        <w:rPr>
          <w:rFonts w:hint="eastAsia" w:ascii="仿宋" w:hAnsi="仿宋" w:eastAsia="仿宋" w:cs="仿宋"/>
          <w:b w:val="0"/>
          <w:bCs w:val="0"/>
          <w:color w:val="auto"/>
          <w:sz w:val="32"/>
          <w:szCs w:val="32"/>
          <w:shd w:val="clear" w:color="auto" w:fill="FFFFFF"/>
          <w:lang w:eastAsia="zh-CN"/>
        </w:rPr>
        <w:t>；三是</w:t>
      </w:r>
      <w:r>
        <w:rPr>
          <w:rFonts w:hint="eastAsia" w:ascii="仿宋" w:hAnsi="仿宋" w:eastAsia="仿宋" w:cs="仿宋"/>
          <w:b w:val="0"/>
          <w:bCs w:val="0"/>
          <w:color w:val="auto"/>
          <w:sz w:val="32"/>
          <w:szCs w:val="32"/>
          <w:shd w:val="clear" w:color="auto" w:fill="FFFFFF"/>
        </w:rPr>
        <w:t>聚焦主责主业，持续提质强能</w:t>
      </w:r>
      <w:r>
        <w:rPr>
          <w:rFonts w:ascii="Times New Roman" w:hAnsi="Times New Roman" w:eastAsia="仿宋_GB2312" w:cs="Times New Roman"/>
          <w:b w:val="0"/>
          <w:bCs w:val="0"/>
          <w:color w:val="auto"/>
          <w:sz w:val="32"/>
          <w:szCs w:val="32"/>
        </w:rPr>
        <w:t>。</w:t>
      </w:r>
    </w:p>
    <w:p>
      <w:pPr>
        <w:pStyle w:val="18"/>
        <w:overflowPunct w:val="0"/>
        <w:autoSpaceDE/>
        <w:autoSpaceDN/>
        <w:spacing w:line="600" w:lineRule="exact"/>
        <w:ind w:firstLine="640" w:firstLineChars="200"/>
        <w:jc w:val="both"/>
        <w:rPr>
          <w:rFonts w:ascii="Times New Roman" w:hAnsi="Times New Roman" w:eastAsia="楷体_GB2312" w:cs="Times New Roman"/>
          <w:b/>
          <w:bCs/>
          <w:color w:val="auto"/>
          <w:kern w:val="2"/>
          <w:sz w:val="32"/>
          <w:szCs w:val="32"/>
        </w:rPr>
      </w:pPr>
      <w:r>
        <w:rPr>
          <w:rFonts w:ascii="Times New Roman" w:hAnsi="Times New Roman" w:eastAsia="楷体_GB2312" w:cs="Times New Roman"/>
          <w:b/>
          <w:bCs/>
          <w:color w:val="auto"/>
          <w:kern w:val="2"/>
          <w:sz w:val="32"/>
          <w:szCs w:val="32"/>
        </w:rPr>
        <w:t>（三）评价结果应用情况。</w:t>
      </w:r>
    </w:p>
    <w:p>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color w:val="auto"/>
          <w:sz w:val="32"/>
          <w:szCs w:val="32"/>
          <w:highlight w:val="none"/>
          <w:shd w:val="clear" w:color="auto" w:fill="FFFFFF"/>
        </w:rPr>
      </w:pPr>
      <w:r>
        <w:rPr>
          <w:rFonts w:hint="eastAsia" w:ascii="Times New Roman" w:hAnsi="Times New Roman" w:eastAsia="仿宋_GB2312" w:cs="Times New Roman"/>
          <w:color w:val="auto"/>
          <w:kern w:val="0"/>
          <w:sz w:val="32"/>
          <w:szCs w:val="32"/>
          <w:lang w:val="en-US" w:eastAsia="zh-CN" w:bidi="ar-SA"/>
        </w:rPr>
        <w:t>2024年中心严格按照年初预算批复认真组织实施，严格执行财政相关管理规定，确保了单位正常运行，较好地完成了2024年部门预算编制和决算汇总工作，单位整体支出绩效目标实现良好，全面完成绩效目标任务，绩效自评结果为优秀。</w:t>
      </w:r>
      <w:r>
        <w:rPr>
          <w:rFonts w:hint="eastAsia" w:ascii="仿宋" w:hAnsi="仿宋" w:eastAsia="仿宋" w:cs="仿宋"/>
          <w:color w:val="auto"/>
          <w:sz w:val="32"/>
          <w:szCs w:val="32"/>
          <w:highlight w:val="none"/>
          <w:shd w:val="clear" w:color="auto" w:fill="FFFFFF"/>
        </w:rPr>
        <w:t>详见附件《202</w:t>
      </w:r>
      <w:r>
        <w:rPr>
          <w:rFonts w:hint="eastAsia" w:ascii="仿宋" w:hAnsi="仿宋" w:eastAsia="仿宋" w:cs="仿宋"/>
          <w:color w:val="auto"/>
          <w:sz w:val="32"/>
          <w:szCs w:val="32"/>
          <w:highlight w:val="none"/>
          <w:shd w:val="clear" w:color="auto" w:fill="FFFFFF"/>
          <w:lang w:val="en-US" w:eastAsia="zh-CN"/>
        </w:rPr>
        <w:t>4</w:t>
      </w:r>
      <w:r>
        <w:rPr>
          <w:rFonts w:hint="eastAsia" w:ascii="仿宋" w:hAnsi="仿宋" w:eastAsia="仿宋" w:cs="仿宋"/>
          <w:color w:val="auto"/>
          <w:sz w:val="32"/>
          <w:szCs w:val="32"/>
          <w:highlight w:val="none"/>
          <w:shd w:val="clear" w:color="auto" w:fill="FFFFFF"/>
        </w:rPr>
        <w:t>年度湖南省</w:t>
      </w:r>
      <w:r>
        <w:rPr>
          <w:rFonts w:hint="eastAsia" w:ascii="仿宋" w:hAnsi="仿宋" w:eastAsia="仿宋" w:cs="仿宋"/>
          <w:color w:val="auto"/>
          <w:sz w:val="32"/>
          <w:szCs w:val="32"/>
          <w:highlight w:val="none"/>
          <w:shd w:val="clear" w:color="auto" w:fill="FFFFFF"/>
          <w:lang w:eastAsia="zh-CN"/>
        </w:rPr>
        <w:t>网络商品交易监测</w:t>
      </w:r>
      <w:r>
        <w:rPr>
          <w:rFonts w:hint="eastAsia" w:ascii="仿宋" w:hAnsi="仿宋" w:eastAsia="仿宋" w:cs="仿宋"/>
          <w:color w:val="auto"/>
          <w:sz w:val="32"/>
          <w:szCs w:val="32"/>
          <w:highlight w:val="none"/>
          <w:shd w:val="clear" w:color="auto" w:fill="FFFFFF"/>
        </w:rPr>
        <w:t>中心整体支出绩效自评报告》。</w:t>
      </w:r>
    </w:p>
    <w:p>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 xml:space="preserve"> </w:t>
      </w:r>
      <w:r>
        <w:rPr>
          <w:rFonts w:hint="eastAsia" w:ascii="仿宋" w:hAnsi="仿宋" w:eastAsia="仿宋" w:cs="仿宋"/>
          <w:color w:val="auto"/>
          <w:sz w:val="32"/>
          <w:szCs w:val="32"/>
          <w:highlight w:val="none"/>
          <w:shd w:val="clear" w:color="auto" w:fill="FFFFFF"/>
        </w:rPr>
        <w:t>在2024年度，我部门严格遵循全面实施预算绩效管理的要求，积极开展绩效自评、部门评价与财政评价工作，力求精准掌握财政资金使用效益与部门履职效能。为进一步提升财政资源配置效率和资金使用效益，现依据2024年度绩效评价结果，对2025年度预算管理工作中的结果运用进行简要说明。</w:t>
      </w:r>
      <w:r>
        <w:rPr>
          <w:rFonts w:hint="eastAsia" w:ascii="Times New Roman" w:hAnsi="Times New Roman" w:eastAsia="仿宋_GB2312" w:cs="Times New Roman"/>
          <w:color w:val="auto"/>
          <w:kern w:val="0"/>
          <w:sz w:val="32"/>
          <w:szCs w:val="32"/>
          <w:lang w:val="en-US" w:eastAsia="zh-CN" w:bidi="ar-SA"/>
        </w:rPr>
        <w:t xml:space="preserve">                 </w:t>
      </w:r>
    </w:p>
    <w:p>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color w:val="auto"/>
          <w:sz w:val="32"/>
          <w:szCs w:val="32"/>
          <w:highlight w:val="none"/>
          <w:shd w:val="clear" w:color="auto" w:fill="FFFFFF"/>
        </w:rPr>
      </w:pPr>
      <w:r>
        <w:rPr>
          <w:rFonts w:hint="eastAsia" w:ascii="Times New Roman" w:hAnsi="Times New Roman" w:eastAsia="仿宋_GB2312" w:cs="Times New Roman"/>
          <w:color w:val="auto"/>
          <w:kern w:val="0"/>
          <w:sz w:val="32"/>
          <w:szCs w:val="32"/>
          <w:lang w:val="en-US" w:eastAsia="zh-CN" w:bidi="ar-SA"/>
        </w:rPr>
        <w:t>根据年度绩效评价结果，优化2025年预算资金的安排并适当调整资金使用方向，如</w:t>
      </w:r>
      <w:r>
        <w:rPr>
          <w:rFonts w:hint="eastAsia" w:ascii="仿宋" w:hAnsi="仿宋" w:eastAsia="仿宋" w:cs="仿宋"/>
          <w:color w:val="auto"/>
          <w:sz w:val="32"/>
          <w:szCs w:val="32"/>
          <w:highlight w:val="none"/>
          <w:shd w:val="clear" w:color="auto" w:fill="FFFFFF"/>
        </w:rPr>
        <w:t>加大对关键业务、民生保障、重点项目等领域的资金支持，减少非必要、低效支出</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shd w:val="clear" w:color="auto" w:fill="FFFFFF"/>
        </w:rPr>
        <w:t>对绩效评价中发现的内容相近、目标重叠的项目进行整合归并，避免资金重复安排和项目多头建设，提高资金使用集中度和效益。通过优化项目设置，使支出结构更加科学合理，契合部门发展战略和工作目标</w:t>
      </w:r>
      <w:r>
        <w:rPr>
          <w:rFonts w:hint="eastAsia" w:ascii="仿宋" w:hAnsi="仿宋" w:eastAsia="仿宋" w:cs="仿宋"/>
          <w:color w:val="auto"/>
          <w:sz w:val="32"/>
          <w:szCs w:val="32"/>
          <w:highlight w:val="none"/>
          <w:shd w:val="clear" w:color="auto" w:fill="FFFFFF"/>
          <w:lang w:eastAsia="zh-CN"/>
        </w:rPr>
        <w:t>。</w:t>
      </w:r>
    </w:p>
    <w:p>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color w:val="auto"/>
          <w:sz w:val="32"/>
          <w:szCs w:val="32"/>
          <w:highlight w:val="none"/>
          <w:shd w:val="clear" w:color="auto" w:fill="FFFFFF"/>
        </w:rPr>
      </w:pPr>
      <w:r>
        <w:rPr>
          <w:rFonts w:hint="eastAsia" w:ascii="仿宋" w:hAnsi="仿宋" w:eastAsia="仿宋" w:cs="仿宋"/>
          <w:color w:val="auto"/>
          <w:sz w:val="32"/>
          <w:szCs w:val="32"/>
          <w:highlight w:val="none"/>
          <w:shd w:val="clear" w:color="auto" w:fill="FFFFFF"/>
        </w:rPr>
        <w:t>以2024年度绩效评价结果为基础，加强2025年度预算资金动态监控。建立健全资金监控机制，实时跟踪资金流向和使用进度，对资金使用效益不高、执行进度缓慢的项目及时预警并督促整改，确保资金安全、高效运行。通过分析绩效评价数据，识别资金管理潜在风险点，制定针对性防控措施。加强对大额资金支出、重点项目资金的审核与监管，规范资金审批流程，防范资金浪费、挪用、违规使用等风险，保障财政资金合规使用</w:t>
      </w:r>
      <w:r>
        <w:rPr>
          <w:rFonts w:hint="eastAsia" w:ascii="仿宋" w:hAnsi="仿宋" w:eastAsia="仿宋" w:cs="仿宋"/>
          <w:color w:val="auto"/>
          <w:sz w:val="32"/>
          <w:szCs w:val="32"/>
          <w:highlight w:val="none"/>
          <w:shd w:val="clear" w:color="auto" w:fill="FFFFFF"/>
          <w:lang w:eastAsia="zh-CN"/>
        </w:rPr>
        <w:t>。</w:t>
      </w:r>
      <w:bookmarkStart w:id="3" w:name="_GoBack"/>
      <w:bookmarkEnd w:id="3"/>
    </w:p>
    <w:p>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color w:val="auto"/>
          <w:sz w:val="72"/>
          <w:szCs w:val="72"/>
          <w:highlight w:val="none"/>
        </w:rPr>
      </w:pPr>
      <w:r>
        <w:rPr>
          <w:rFonts w:hint="eastAsia" w:ascii="仿宋" w:hAnsi="仿宋" w:eastAsia="仿宋" w:cs="仿宋"/>
          <w:color w:val="auto"/>
          <w:sz w:val="32"/>
          <w:szCs w:val="32"/>
          <w:highlight w:val="none"/>
          <w:shd w:val="clear" w:color="auto" w:fill="FFFFFF"/>
        </w:rPr>
        <w:t>结合绩效评价中暴露的问题和管理薄弱环节，对现有预算管理制度进行全面梳理。完善预算编制、执行、监督、评价等各环节制度规范，明确职责分工、工作流程和标准要求，增强制度的科学性、合理性和可操作性。以绩效评价结果为导向，建立预算管理长效机制。将绩效管理贯穿预算管理全过程，强化绩效目标约束，完善绩效评价指标体系，健全绩效结果反馈与应用机制，形成“预算编制有目标、预算执行有监控、预算完成有评价、评价结果有应用”的良性循环，持续提升预算管理水平</w:t>
      </w:r>
      <w:r>
        <w:rPr>
          <w:rFonts w:hint="eastAsia" w:ascii="仿宋" w:hAnsi="仿宋" w:eastAsia="仿宋" w:cs="仿宋"/>
          <w:color w:val="auto"/>
          <w:sz w:val="32"/>
          <w:szCs w:val="32"/>
          <w:highlight w:val="none"/>
          <w:shd w:val="clear" w:color="auto" w:fill="FFFFFF"/>
          <w:lang w:eastAsia="zh-CN"/>
        </w:rPr>
        <w:t>。</w:t>
      </w:r>
    </w:p>
    <w:p>
      <w:pPr>
        <w:pStyle w:val="18"/>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both"/>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pPr>
        <w:widowControl/>
        <w:jc w:val="left"/>
        <w:rPr>
          <w:rFonts w:ascii="Times New Roman" w:hAnsi="Times New Roman" w:cs="Times New Roman"/>
          <w:color w:val="000000"/>
          <w:kern w:val="0"/>
          <w:sz w:val="32"/>
          <w:szCs w:val="32"/>
        </w:rPr>
      </w:pPr>
    </w:p>
    <w:p>
      <w:pPr>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br w:type="page"/>
      </w:r>
    </w:p>
    <w:p>
      <w:pPr>
        <w:pStyle w:val="18"/>
        <w:spacing w:line="600" w:lineRule="exact"/>
        <w:ind w:firstLine="640" w:firstLineChars="200"/>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（一）一般公共预算财政拨款：本级财政部门当年拨付的财政预算资金。</w:t>
      </w:r>
    </w:p>
    <w:p>
      <w:pPr>
        <w:pStyle w:val="18"/>
        <w:spacing w:line="600" w:lineRule="exact"/>
        <w:ind w:firstLine="640" w:firstLineChars="200"/>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（二）其他收入：预算单位在“财政拨款、事业收入、经营收入、上级补助收入、附属单位缴款收入”等之外取得的各项收入。</w:t>
      </w:r>
    </w:p>
    <w:p>
      <w:pPr>
        <w:pStyle w:val="18"/>
        <w:spacing w:line="600" w:lineRule="exact"/>
        <w:ind w:firstLine="640" w:firstLineChars="200"/>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（三）基本支出：是预算单位为保障其正常运转，完成日常工作任务所发生的支出，包括人员支出和日常公用支出。</w:t>
      </w:r>
    </w:p>
    <w:p>
      <w:pPr>
        <w:pStyle w:val="18"/>
        <w:spacing w:line="600" w:lineRule="exact"/>
        <w:ind w:firstLine="640" w:firstLineChars="200"/>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（四）项目支出：是预算单位为完成其特定的行政工作任务或事业发展目标所发生的支出。</w:t>
      </w:r>
    </w:p>
    <w:p>
      <w:pPr>
        <w:pStyle w:val="18"/>
        <w:spacing w:line="600" w:lineRule="exact"/>
        <w:ind w:firstLine="640" w:firstLineChars="200"/>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五）三公经费：政府单位用于财政拨款经费安排的因公出国（境）费用、公务用车购置及运行维护费用、公务接待费用。其中因公出国（境）费用反映单位公务出国（境）的住宿费、差旅费、伙食补助费、培训费等支出；公务用车购置及运行维护费用反映单位公务用车购置及维修费、燃料费、过路过桥费、保险费等支出；公务接待费反映单位按规定开支的各类公务接待（含外宾接待）支出。</w:t>
      </w:r>
    </w:p>
    <w:p>
      <w:pPr>
        <w:pStyle w:val="18"/>
        <w:spacing w:line="600" w:lineRule="exact"/>
        <w:ind w:firstLine="640" w:firstLineChars="200"/>
        <w:rPr>
          <w:rFonts w:ascii="Times New Roman" w:hAnsi="Times New Roman" w:eastAsia="楷体_GB2312" w:cs="Times New Roman"/>
          <w:b/>
          <w:bCs/>
          <w:i/>
          <w:color w:val="auto"/>
          <w:sz w:val="32"/>
          <w:szCs w:val="32"/>
        </w:rPr>
      </w:pPr>
      <w:r>
        <w:rPr>
          <w:rFonts w:hint="eastAsia" w:ascii="Times New Roman" w:hAnsi="Times New Roman" w:eastAsia="仿宋_GB2312" w:cs="Times New Roman"/>
          <w:color w:val="000000"/>
          <w:kern w:val="0"/>
          <w:sz w:val="32"/>
          <w:szCs w:val="32"/>
        </w:rPr>
        <w:t>（六）机关运行经费：反映行政单位和参照公务员法管理事业单位履行一般行政管理职能、维持机关日常运转所必需的，用公共预算财政拨款开支的费用，包括办公及印刷费、水电费、邮电费、取暖费、交通费、差旅费、会议费、</w:t>
      </w:r>
      <w:r>
        <w:rPr>
          <w:rFonts w:hint="eastAsia" w:ascii="Times New Roman" w:hAnsi="Times New Roman" w:eastAsia="仿宋_GB2312" w:cs="Times New Roman"/>
          <w:color w:val="000000"/>
          <w:kern w:val="0"/>
          <w:sz w:val="32"/>
          <w:szCs w:val="32"/>
          <w:lang w:eastAsia="zh-CN"/>
        </w:rPr>
        <w:t>培训费、劳务费、委托业务费、</w:t>
      </w:r>
      <w:r>
        <w:rPr>
          <w:rFonts w:hint="eastAsia" w:ascii="Times New Roman" w:hAnsi="Times New Roman" w:eastAsia="仿宋_GB2312" w:cs="Times New Roman"/>
          <w:color w:val="000000"/>
          <w:kern w:val="0"/>
          <w:sz w:val="32"/>
          <w:szCs w:val="32"/>
        </w:rPr>
        <w:t>福利费、物业管理费、日常维修费、专用材料费、一般购置费等费用。</w:t>
      </w:r>
    </w:p>
    <w:p>
      <w:pPr>
        <w:pStyle w:val="18"/>
        <w:jc w:val="center"/>
        <w:rPr>
          <w:rFonts w:ascii="Times New Roman" w:hAnsi="Times New Roman" w:cs="Times New Roman"/>
          <w:sz w:val="72"/>
          <w:szCs w:val="72"/>
        </w:rPr>
      </w:pPr>
    </w:p>
    <w:p>
      <w:pPr>
        <w:pStyle w:val="18"/>
        <w:jc w:val="center"/>
        <w:rPr>
          <w:rFonts w:ascii="Times New Roman" w:hAnsi="Times New Roman" w:cs="Times New Roman"/>
          <w:sz w:val="72"/>
          <w:szCs w:val="72"/>
        </w:rPr>
      </w:pPr>
    </w:p>
    <w:p>
      <w:pPr>
        <w:pStyle w:val="18"/>
        <w:jc w:val="center"/>
        <w:rPr>
          <w:rFonts w:ascii="Times New Roman" w:hAnsi="Times New Roman" w:cs="Times New Roman"/>
          <w:sz w:val="72"/>
          <w:szCs w:val="72"/>
        </w:rPr>
      </w:pPr>
    </w:p>
    <w:p>
      <w:pPr>
        <w:pStyle w:val="18"/>
        <w:jc w:val="center"/>
        <w:rPr>
          <w:rFonts w:ascii="Times New Roman" w:hAnsi="Times New Roman" w:cs="Times New Roman"/>
          <w:sz w:val="72"/>
          <w:szCs w:val="72"/>
        </w:rPr>
      </w:pPr>
    </w:p>
    <w:p>
      <w:pPr>
        <w:pStyle w:val="18"/>
        <w:jc w:val="both"/>
        <w:rPr>
          <w:rFonts w:ascii="Times New Roman" w:hAnsi="Times New Roman" w:cs="Times New Roman"/>
          <w:sz w:val="72"/>
          <w:szCs w:val="72"/>
        </w:rPr>
      </w:pPr>
    </w:p>
    <w:p>
      <w:pPr>
        <w:pStyle w:val="18"/>
        <w:jc w:val="both"/>
        <w:rPr>
          <w:rFonts w:ascii="Times New Roman" w:hAnsi="Times New Roman" w:cs="Times New Roman"/>
          <w:sz w:val="72"/>
          <w:szCs w:val="7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p>
    <w:p>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pPr>
        <w:rPr>
          <w:rFonts w:ascii="Times New Roman" w:hAnsi="Times New Roman" w:cs="Times New Roman"/>
          <w:sz w:val="72"/>
          <w:szCs w:val="7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pacing w:before="104" w:beforeLines="0" w:afterLines="0" w:line="424" w:lineRule="exact"/>
        <w:rPr>
          <w:rFonts w:hint="default" w:ascii="黑体" w:hAnsi="黑体" w:eastAsia="黑体" w:cs="黑体"/>
          <w:spacing w:val="-27"/>
          <w:position w:val="1"/>
          <w:sz w:val="32"/>
          <w:szCs w:val="32"/>
          <w:lang w:val="en-US" w:eastAsia="zh-CN"/>
        </w:rPr>
      </w:pPr>
      <w:r>
        <w:rPr>
          <w:rFonts w:hint="eastAsia" w:ascii="黑体" w:hAnsi="黑体" w:eastAsia="黑体" w:cs="黑体"/>
          <w:spacing w:val="-27"/>
          <w:position w:val="1"/>
          <w:sz w:val="32"/>
          <w:szCs w:val="32"/>
          <w:lang w:val="en-US" w:eastAsia="zh-CN"/>
        </w:rPr>
        <w:t>附件1</w:t>
      </w:r>
    </w:p>
    <w:p>
      <w:pPr>
        <w:spacing w:beforeLines="0" w:afterLines="0"/>
        <w:jc w:val="center"/>
        <w:rPr>
          <w:rFonts w:hint="eastAsia" w:ascii="Times New Roman" w:hAnsi="Times New Roman" w:eastAsia="Times New Roman" w:cs="Times New Roman"/>
          <w:sz w:val="52"/>
          <w:szCs w:val="52"/>
        </w:rPr>
      </w:pPr>
      <w:r>
        <w:rPr>
          <w:rFonts w:hint="eastAsia" w:ascii="Times New Roman" w:hAnsi="Times New Roman" w:eastAsia="Times New Roman" w:cs="Times New Roman"/>
          <w:sz w:val="52"/>
          <w:szCs w:val="52"/>
        </w:rPr>
        <w:t>202</w:t>
      </w:r>
      <w:r>
        <w:rPr>
          <w:rFonts w:hint="eastAsia" w:ascii="Times New Roman" w:hAnsi="Times New Roman" w:eastAsia="方正小标宋_GBK" w:cs="Times New Roman"/>
          <w:sz w:val="52"/>
          <w:szCs w:val="52"/>
        </w:rPr>
        <w:t>4年度湖南省网络商品交易监测中心整体支出绩效自评报告</w:t>
      </w:r>
    </w:p>
    <w:p>
      <w:pPr>
        <w:spacing w:beforeLines="0" w:afterLines="0"/>
        <w:rPr>
          <w:rFonts w:hint="eastAsia" w:ascii="Times New Roman" w:hAnsi="Times New Roman" w:eastAsia="Times New Roman" w:cs="Times New Roman"/>
          <w:sz w:val="32"/>
          <w:szCs w:val="32"/>
        </w:rPr>
      </w:pPr>
    </w:p>
    <w:p>
      <w:pPr>
        <w:numPr>
          <w:ilvl w:val="0"/>
          <w:numId w:val="0"/>
        </w:num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一、单位基本情况</w:t>
      </w:r>
    </w:p>
    <w:p>
      <w:p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1．主要职能。</w:t>
      </w:r>
    </w:p>
    <w:p>
      <w:pPr>
        <w:widowControl w:val="0"/>
        <w:numPr>
          <w:ilvl w:val="0"/>
          <w:numId w:val="1"/>
        </w:numPr>
        <w:tabs>
          <w:tab w:val="left" w:pos="1260"/>
          <w:tab w:val="left" w:pos="1980"/>
        </w:tabs>
        <w:autoSpaceDE/>
        <w:autoSpaceDN/>
        <w:spacing w:beforeLines="0" w:afterLines="0" w:line="560" w:lineRule="exact"/>
        <w:ind w:firstLine="640" w:firstLineChars="200"/>
        <w:jc w:val="both"/>
        <w:textAlignment w:val="auto"/>
        <w:outlineLvl w:val="0"/>
        <w:rPr>
          <w:rFonts w:hint="eastAsia" w:ascii="仿宋" w:hAnsi="仿宋" w:eastAsia="仿宋" w:cs="仿宋"/>
          <w:sz w:val="32"/>
          <w:szCs w:val="32"/>
        </w:rPr>
      </w:pPr>
      <w:r>
        <w:rPr>
          <w:rFonts w:hint="eastAsia" w:ascii="仿宋" w:hAnsi="仿宋" w:eastAsia="仿宋" w:cs="仿宋"/>
          <w:sz w:val="32"/>
          <w:szCs w:val="32"/>
        </w:rPr>
        <w:t>承担网络交易监测、广告监测相关事务性工作。</w:t>
      </w:r>
    </w:p>
    <w:p>
      <w:pPr>
        <w:widowControl w:val="0"/>
        <w:numPr>
          <w:ilvl w:val="0"/>
          <w:numId w:val="1"/>
        </w:numPr>
        <w:tabs>
          <w:tab w:val="left" w:pos="1260"/>
          <w:tab w:val="left" w:pos="1980"/>
        </w:tabs>
        <w:autoSpaceDE/>
        <w:autoSpaceDN/>
        <w:spacing w:beforeLines="0" w:afterLines="0" w:line="560" w:lineRule="exact"/>
        <w:ind w:firstLine="640" w:firstLineChars="200"/>
        <w:jc w:val="both"/>
        <w:textAlignment w:val="auto"/>
        <w:outlineLvl w:val="0"/>
        <w:rPr>
          <w:rFonts w:hint="eastAsia" w:ascii="仿宋" w:hAnsi="仿宋" w:eastAsia="仿宋" w:cs="仿宋"/>
          <w:sz w:val="32"/>
          <w:szCs w:val="32"/>
        </w:rPr>
      </w:pPr>
      <w:r>
        <w:rPr>
          <w:rFonts w:hint="eastAsia" w:ascii="仿宋" w:hAnsi="仿宋" w:eastAsia="仿宋" w:cs="仿宋"/>
          <w:sz w:val="32"/>
          <w:szCs w:val="32"/>
        </w:rPr>
        <w:t>开展网络交易、广告违法线索电子取证和固证工作。</w:t>
      </w:r>
    </w:p>
    <w:p>
      <w:pPr>
        <w:widowControl w:val="0"/>
        <w:numPr>
          <w:ilvl w:val="0"/>
          <w:numId w:val="1"/>
        </w:numPr>
        <w:tabs>
          <w:tab w:val="left" w:pos="1260"/>
          <w:tab w:val="left" w:pos="1980"/>
        </w:tabs>
        <w:autoSpaceDE/>
        <w:autoSpaceDN/>
        <w:spacing w:beforeLines="0" w:afterLines="0" w:line="560" w:lineRule="exact"/>
        <w:ind w:firstLine="640" w:firstLineChars="200"/>
        <w:jc w:val="both"/>
        <w:textAlignment w:val="auto"/>
        <w:outlineLvl w:val="0"/>
        <w:rPr>
          <w:rFonts w:hint="eastAsia" w:ascii="仿宋" w:hAnsi="仿宋" w:eastAsia="仿宋" w:cs="仿宋"/>
          <w:sz w:val="32"/>
          <w:szCs w:val="32"/>
        </w:rPr>
      </w:pPr>
      <w:r>
        <w:rPr>
          <w:rFonts w:hint="eastAsia" w:ascii="仿宋" w:hAnsi="仿宋" w:eastAsia="仿宋" w:cs="仿宋"/>
          <w:sz w:val="32"/>
          <w:szCs w:val="32"/>
        </w:rPr>
        <w:t>协助指导督促网络交易平台经营者落实主体责任；协助指导参与全省网络交易监测、广告监测平台的规划、建设及管理；协助网络交易、广告经营者信用监管相关事务性工作。</w:t>
      </w:r>
    </w:p>
    <w:p>
      <w:pPr>
        <w:widowControl w:val="0"/>
        <w:numPr>
          <w:ilvl w:val="0"/>
          <w:numId w:val="1"/>
        </w:numPr>
        <w:tabs>
          <w:tab w:val="left" w:pos="1260"/>
          <w:tab w:val="left" w:pos="1980"/>
        </w:tabs>
        <w:autoSpaceDE/>
        <w:autoSpaceDN/>
        <w:spacing w:beforeLines="0" w:afterLines="0" w:line="560" w:lineRule="exact"/>
        <w:ind w:firstLine="640" w:firstLineChars="200"/>
        <w:jc w:val="both"/>
        <w:textAlignment w:val="auto"/>
        <w:outlineLvl w:val="0"/>
        <w:rPr>
          <w:rFonts w:hint="eastAsia" w:ascii="仿宋" w:hAnsi="仿宋" w:eastAsia="仿宋" w:cs="仿宋"/>
          <w:sz w:val="32"/>
          <w:szCs w:val="32"/>
        </w:rPr>
      </w:pPr>
      <w:r>
        <w:rPr>
          <w:rFonts w:hint="eastAsia" w:ascii="仿宋" w:hAnsi="仿宋" w:eastAsia="仿宋" w:cs="仿宋"/>
          <w:sz w:val="32"/>
          <w:szCs w:val="32"/>
        </w:rPr>
        <w:t>开展网络交易监测、广告监测学术研究和交流合作。</w:t>
      </w:r>
    </w:p>
    <w:p>
      <w:pPr>
        <w:widowControl w:val="0"/>
        <w:numPr>
          <w:ilvl w:val="0"/>
          <w:numId w:val="1"/>
        </w:numPr>
        <w:tabs>
          <w:tab w:val="left" w:pos="1260"/>
          <w:tab w:val="left" w:pos="1980"/>
        </w:tabs>
        <w:autoSpaceDE/>
        <w:autoSpaceDN/>
        <w:spacing w:beforeLines="0" w:afterLines="0" w:line="560" w:lineRule="exact"/>
        <w:ind w:firstLine="640" w:firstLineChars="200"/>
        <w:jc w:val="both"/>
        <w:textAlignment w:val="auto"/>
        <w:outlineLvl w:val="0"/>
        <w:rPr>
          <w:rFonts w:hint="eastAsia" w:ascii="仿宋" w:hAnsi="仿宋" w:eastAsia="仿宋" w:cs="仿宋"/>
          <w:sz w:val="32"/>
          <w:szCs w:val="32"/>
        </w:rPr>
      </w:pPr>
      <w:r>
        <w:rPr>
          <w:rFonts w:hint="eastAsia" w:ascii="仿宋" w:hAnsi="仿宋" w:eastAsia="仿宋" w:cs="仿宋"/>
          <w:sz w:val="32"/>
          <w:szCs w:val="32"/>
        </w:rPr>
        <w:t>完成省市场监督管理局交办的其他任务。</w:t>
      </w:r>
    </w:p>
    <w:p>
      <w:pPr>
        <w:numPr>
          <w:ilvl w:val="0"/>
          <w:numId w:val="2"/>
        </w:num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机构情况</w:t>
      </w:r>
    </w:p>
    <w:p>
      <w:pPr>
        <w:numPr>
          <w:ilvl w:val="0"/>
          <w:numId w:val="0"/>
        </w:num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内设机构（2个）：综合部、网络交易及广告监测部。</w:t>
      </w:r>
    </w:p>
    <w:p>
      <w:pPr>
        <w:numPr>
          <w:ilvl w:val="0"/>
          <w:numId w:val="0"/>
        </w:num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3.人员情况</w:t>
      </w:r>
    </w:p>
    <w:p>
      <w:p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本部门人员编制数17人,实有在职在岗人数18人,退休人员31人，离休人员1人。</w:t>
      </w:r>
    </w:p>
    <w:p>
      <w:pPr>
        <w:numPr>
          <w:ilvl w:val="0"/>
          <w:numId w:val="0"/>
        </w:num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二、一般公共预算支出情况</w:t>
      </w:r>
    </w:p>
    <w:p>
      <w:pPr>
        <w:pStyle w:val="19"/>
        <w:spacing w:beforeLines="0" w:afterLines="0" w:line="560" w:lineRule="exact"/>
        <w:ind w:firstLine="608" w:firstLineChars="190"/>
        <w:jc w:val="both"/>
        <w:rPr>
          <w:rFonts w:hint="eastAsia" w:ascii="仿宋" w:hAnsi="仿宋" w:eastAsia="仿宋" w:cs="仿宋"/>
          <w:sz w:val="32"/>
          <w:szCs w:val="32"/>
        </w:rPr>
      </w:pPr>
      <w:r>
        <w:rPr>
          <w:rFonts w:hint="eastAsia" w:ascii="仿宋" w:hAnsi="仿宋" w:eastAsia="仿宋" w:cs="仿宋"/>
          <w:sz w:val="32"/>
          <w:szCs w:val="32"/>
        </w:rPr>
        <w:t>2024年省财政对我中心批复预算控制数为1010.80万元，2024年全年预算数为768.80万元，2024年全年预算支出741.53万元，整体预算执行率为96.45%。</w:t>
      </w:r>
    </w:p>
    <w:p>
      <w:p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（一）基本支出情况</w:t>
      </w:r>
    </w:p>
    <w:p>
      <w:pPr>
        <w:spacing w:beforeLines="0" w:afterLines="0" w:line="560" w:lineRule="exact"/>
        <w:ind w:firstLine="660"/>
        <w:jc w:val="both"/>
        <w:rPr>
          <w:rFonts w:hint="eastAsia" w:ascii="仿宋" w:hAnsi="仿宋" w:eastAsia="仿宋" w:cs="仿宋"/>
          <w:sz w:val="32"/>
          <w:szCs w:val="32"/>
        </w:rPr>
      </w:pPr>
      <w:r>
        <w:rPr>
          <w:rFonts w:hint="eastAsia" w:ascii="仿宋" w:hAnsi="仿宋" w:eastAsia="仿宋" w:cs="仿宋"/>
          <w:sz w:val="32"/>
          <w:szCs w:val="32"/>
        </w:rPr>
        <w:t>基本支出全年预算数704.30万元，全年共支出698.93万元，全年基本支出整体执行率99.24%，其中：工资福利支出405.04万元，商品和服务支出112.93万元，对个人和家庭的补助支出180.96</w:t>
      </w:r>
    </w:p>
    <w:p>
      <w:pPr>
        <w:spacing w:beforeLines="0" w:afterLines="0" w:line="560" w:lineRule="exact"/>
        <w:jc w:val="both"/>
        <w:rPr>
          <w:rFonts w:hint="eastAsia" w:ascii="仿宋" w:hAnsi="仿宋" w:eastAsia="仿宋" w:cs="仿宋"/>
          <w:sz w:val="32"/>
          <w:szCs w:val="32"/>
        </w:rPr>
      </w:pPr>
      <w:r>
        <w:rPr>
          <w:rFonts w:hint="eastAsia" w:ascii="仿宋" w:hAnsi="仿宋" w:eastAsia="仿宋" w:cs="仿宋"/>
          <w:sz w:val="32"/>
          <w:szCs w:val="32"/>
        </w:rPr>
        <w:t>万元；主要是为保障单位正常运转、完成日常工作任务而发生的各项支出。</w:t>
      </w:r>
    </w:p>
    <w:p>
      <w:pPr>
        <w:numPr>
          <w:ilvl w:val="0"/>
          <w:numId w:val="0"/>
        </w:numPr>
        <w:spacing w:beforeLines="0" w:afterLines="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（二）项目支出情况</w:t>
      </w:r>
    </w:p>
    <w:p>
      <w:pPr>
        <w:numPr>
          <w:ilvl w:val="0"/>
          <w:numId w:val="0"/>
        </w:numPr>
        <w:spacing w:beforeLines="0" w:afterLines="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项目支出全年预算数64.50万元，全年共支出42.60万元，全年项目支出整体执行率66.05%，其中：</w:t>
      </w:r>
    </w:p>
    <w:p>
      <w:pPr>
        <w:widowControl w:val="0"/>
        <w:numPr>
          <w:ilvl w:val="0"/>
          <w:numId w:val="0"/>
        </w:numPr>
        <w:autoSpaceDE/>
        <w:autoSpaceDN/>
        <w:adjustRightInd/>
        <w:snapToGrid/>
        <w:spacing w:beforeLines="0" w:afterLines="0" w:line="600" w:lineRule="exact"/>
        <w:ind w:firstLine="64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rPr>
        <w:t>1、业务工作经费。</w:t>
      </w:r>
      <w:r>
        <w:rPr>
          <w:rFonts w:hint="eastAsia" w:ascii="仿宋" w:hAnsi="仿宋" w:eastAsia="仿宋" w:cs="仿宋"/>
          <w:color w:val="auto"/>
          <w:sz w:val="32"/>
          <w:szCs w:val="32"/>
        </w:rPr>
        <w:t>根据《湖南省市场监督管理局关于各二级预算单位2024年预算的批复》（湘市监财函〔2024〕53 号）拨付网监中心业务工作经费32.50万元，整体支出19.62万元，整体预算执行率为60.37%，主要用于采购网络监管系统数据服务，定期更新我省辖区内主要网络经济主体及相关客体信息等。</w:t>
      </w:r>
    </w:p>
    <w:p>
      <w:pPr>
        <w:numPr>
          <w:ilvl w:val="0"/>
          <w:numId w:val="0"/>
        </w:numPr>
        <w:spacing w:beforeLines="0" w:afterLines="0" w:line="560" w:lineRule="exact"/>
        <w:ind w:firstLine="640" w:firstLineChars="200"/>
        <w:jc w:val="both"/>
        <w:rPr>
          <w:rFonts w:hint="eastAsia" w:ascii="仿宋" w:hAnsi="仿宋" w:eastAsia="仿宋" w:cs="仿宋"/>
          <w:b/>
          <w:color w:val="auto"/>
          <w:sz w:val="32"/>
          <w:szCs w:val="32"/>
        </w:rPr>
      </w:pPr>
      <w:r>
        <w:rPr>
          <w:rFonts w:hint="eastAsia" w:ascii="仿宋" w:hAnsi="仿宋" w:eastAsia="仿宋" w:cs="仿宋"/>
          <w:b/>
          <w:color w:val="auto"/>
          <w:sz w:val="32"/>
          <w:szCs w:val="32"/>
        </w:rPr>
        <w:t>2、运行维护经费。</w:t>
      </w:r>
      <w:r>
        <w:rPr>
          <w:rFonts w:hint="eastAsia" w:ascii="仿宋" w:hAnsi="仿宋" w:eastAsia="仿宋" w:cs="仿宋"/>
          <w:color w:val="auto"/>
          <w:sz w:val="32"/>
          <w:szCs w:val="32"/>
        </w:rPr>
        <w:t>根据《湖南省市场监督管理局关于各二级预算单位2024年预算的批复》（湘市监财函〔2024〕53 号）拨付网监中心办公设备购置费5万元、公务用车购置费27万元，整体支出22.98万元，整体预算执行率为71.81%，主要保障网监中心办公设备购置、公务用车购置支出。</w:t>
      </w:r>
    </w:p>
    <w:p>
      <w:pPr>
        <w:numPr>
          <w:ilvl w:val="0"/>
          <w:numId w:val="0"/>
        </w:num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三、政府性基金预算支出情况</w:t>
      </w:r>
    </w:p>
    <w:p>
      <w:pPr>
        <w:spacing w:beforeLines="0" w:afterLines="0" w:line="560" w:lineRule="exact"/>
        <w:ind w:firstLine="640"/>
        <w:jc w:val="both"/>
        <w:rPr>
          <w:rFonts w:hint="eastAsia" w:ascii="仿宋" w:hAnsi="仿宋" w:eastAsia="仿宋" w:cs="仿宋"/>
          <w:sz w:val="32"/>
          <w:szCs w:val="32"/>
        </w:rPr>
      </w:pPr>
      <w:r>
        <w:rPr>
          <w:rFonts w:hint="eastAsia" w:ascii="仿宋" w:hAnsi="仿宋" w:eastAsia="仿宋" w:cs="仿宋"/>
          <w:sz w:val="32"/>
          <w:szCs w:val="32"/>
        </w:rPr>
        <w:t>2024年我中心无政府性基金预算支出情况。</w:t>
      </w:r>
    </w:p>
    <w:p>
      <w:p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四、国有资本经营预算支出情况</w:t>
      </w:r>
    </w:p>
    <w:p>
      <w:pPr>
        <w:spacing w:beforeLines="0" w:afterLines="0" w:line="560" w:lineRule="exact"/>
        <w:ind w:firstLine="640"/>
        <w:jc w:val="both"/>
        <w:rPr>
          <w:rFonts w:hint="eastAsia" w:ascii="仿宋" w:hAnsi="仿宋" w:eastAsia="仿宋" w:cs="仿宋"/>
          <w:sz w:val="32"/>
          <w:szCs w:val="32"/>
        </w:rPr>
      </w:pPr>
      <w:r>
        <w:rPr>
          <w:rFonts w:hint="eastAsia" w:ascii="仿宋" w:hAnsi="仿宋" w:eastAsia="仿宋" w:cs="仿宋"/>
          <w:sz w:val="32"/>
          <w:szCs w:val="32"/>
        </w:rPr>
        <w:t>2024年我中心无国有资本经营预算支出情况。</w:t>
      </w:r>
    </w:p>
    <w:p>
      <w:p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五、社会保险基金预算支出情况</w:t>
      </w:r>
    </w:p>
    <w:p>
      <w:pPr>
        <w:spacing w:beforeLines="0" w:afterLines="0" w:line="560" w:lineRule="exact"/>
        <w:ind w:firstLine="640"/>
        <w:jc w:val="both"/>
        <w:rPr>
          <w:rFonts w:hint="eastAsia" w:ascii="仿宋" w:hAnsi="仿宋" w:eastAsia="仿宋" w:cs="仿宋"/>
          <w:sz w:val="32"/>
          <w:szCs w:val="32"/>
        </w:rPr>
      </w:pPr>
      <w:r>
        <w:rPr>
          <w:rFonts w:hint="eastAsia" w:ascii="仿宋" w:hAnsi="仿宋" w:eastAsia="仿宋" w:cs="仿宋"/>
          <w:sz w:val="32"/>
          <w:szCs w:val="32"/>
        </w:rPr>
        <w:t>2024年我中心无社会保险基金预算支出情况。</w:t>
      </w:r>
    </w:p>
    <w:p>
      <w:pPr>
        <w:numPr>
          <w:ilvl w:val="0"/>
          <w:numId w:val="0"/>
        </w:numPr>
        <w:spacing w:beforeLines="0" w:afterLines="0" w:line="560" w:lineRule="exact"/>
        <w:jc w:val="both"/>
        <w:rPr>
          <w:rFonts w:hint="eastAsia" w:ascii="仿宋" w:hAnsi="仿宋" w:eastAsia="仿宋" w:cs="仿宋"/>
          <w:b/>
          <w:sz w:val="32"/>
          <w:szCs w:val="32"/>
        </w:rPr>
      </w:pPr>
      <w:r>
        <w:rPr>
          <w:rFonts w:hint="eastAsia" w:ascii="仿宋" w:hAnsi="仿宋" w:eastAsia="仿宋" w:cs="仿宋"/>
          <w:b/>
          <w:sz w:val="32"/>
          <w:szCs w:val="32"/>
        </w:rPr>
        <w:t>六、单位整体支出绩效情况</w:t>
      </w:r>
    </w:p>
    <w:p>
      <w:pPr>
        <w:numPr>
          <w:ilvl w:val="0"/>
          <w:numId w:val="0"/>
        </w:numPr>
        <w:spacing w:beforeLines="0" w:afterLines="0" w:line="560" w:lineRule="exact"/>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2024年全年预算数为768.8万元，支出741.53万元，其中：基本支出为698.93万元，项目支出42.60万元。中心严格执行中央八项规定和财务管理制度，根据年初预算，除优先安排人员基本经费支出外，合理安排日常公用经费及项目经费，做到厉行节约、精打细算，把有限的资金用到刀刃上，保证中心各项工作的正常运转。</w:t>
      </w:r>
    </w:p>
    <w:p>
      <w:pPr>
        <w:spacing w:beforeLines="0" w:afterLines="0" w:line="560" w:lineRule="exact"/>
        <w:ind w:firstLine="640" w:firstLineChars="200"/>
        <w:jc w:val="both"/>
        <w:rPr>
          <w:rFonts w:hint="eastAsia" w:ascii="仿宋" w:hAnsi="仿宋" w:eastAsia="仿宋" w:cs="仿宋"/>
          <w:b/>
          <w:color w:val="auto"/>
          <w:sz w:val="32"/>
          <w:szCs w:val="32"/>
          <w:shd w:val="clear" w:color="auto" w:fill="FFFFFF"/>
        </w:rPr>
      </w:pPr>
      <w:r>
        <w:rPr>
          <w:rFonts w:hint="eastAsia" w:ascii="仿宋" w:hAnsi="仿宋" w:eastAsia="仿宋" w:cs="仿宋"/>
          <w:b/>
          <w:color w:val="auto"/>
          <w:sz w:val="32"/>
          <w:szCs w:val="32"/>
          <w:shd w:val="clear" w:color="auto" w:fill="FFFFFF"/>
        </w:rPr>
        <w:t>(一)深化政治引领，巩固政治共识</w:t>
      </w:r>
    </w:p>
    <w:p>
      <w:pPr>
        <w:spacing w:beforeLines="0" w:afterLines="0" w:line="560" w:lineRule="exact"/>
        <w:ind w:firstLine="640" w:firstLineChars="200"/>
        <w:jc w:val="both"/>
        <w:rPr>
          <w:rFonts w:hint="eastAsia" w:ascii="仿宋" w:hAnsi="仿宋" w:eastAsia="仿宋" w:cs="仿宋"/>
          <w:color w:val="auto"/>
          <w:sz w:val="32"/>
          <w:szCs w:val="32"/>
          <w:shd w:val="clear" w:color="auto" w:fill="FFFFFF"/>
        </w:rPr>
      </w:pPr>
      <w:r>
        <w:rPr>
          <w:rFonts w:hint="eastAsia" w:ascii="仿宋" w:hAnsi="仿宋" w:eastAsia="仿宋" w:cs="仿宋"/>
          <w:color w:val="auto"/>
          <w:sz w:val="32"/>
          <w:szCs w:val="32"/>
          <w:shd w:val="clear" w:color="auto" w:fill="FFFFFF"/>
        </w:rPr>
        <w:t>网监中心深刻领会党的二十大、二十届三中全会及省委十二届七次全会精神，强化“四个意识”、坚定“四个自信”、做到“两个维护”，坚决贯彻党中央、省委及省局党组的决策部署和工作要求。一是理论学习见行见效。在做好“必选题”的同时，中心组织开展了“讲党话、唱党情、颂党恩、议党史”党员干部宣讲活动，每个季度一个宣讲主题，年底统一进行总结表彰。截止目前，中心已开展党员干部理论宣讲11次。二是组织生活落实落细。网监中心以“一月一课一片一实践”为抓手，以主题教育和党纪学习为主线，严格落实“第一议题”制度及“三会一课”等党内组织生活制度，截止当前开展主题党日活动11次、集中学习11次，召开党员大会4次、巡察整改专题民主生活会1次。三是党纪学习有序有力。网监中心严格按照要求抓实抓细党纪学习教育，召开党员干部动员部署会，制定工作方案及学习计划，组织专题研究1次、学习研讨5次，开展廉政实地教育1次，讲专题党课3次，在省局机关党委、机关纪委专项督查中获得肯定。四是巡察整改走深走实。针对省局党组巡察组反馈提出的四个方面的具体问题，中心制定整改方案，明确反馈问题整改责任，全力推进各项整改任务落实落地，目前除监测系统项目建设因未获省发改委前置审查未完成需长期坚持外，其余反馈问题均已整改到位。</w:t>
      </w:r>
    </w:p>
    <w:p>
      <w:pPr>
        <w:spacing w:beforeLines="0" w:afterLines="0" w:line="560" w:lineRule="exact"/>
        <w:ind w:firstLine="640" w:firstLineChars="200"/>
        <w:jc w:val="both"/>
        <w:rPr>
          <w:rFonts w:hint="eastAsia" w:ascii="仿宋" w:hAnsi="仿宋" w:eastAsia="仿宋" w:cs="仿宋"/>
          <w:b/>
          <w:color w:val="auto"/>
          <w:sz w:val="32"/>
          <w:szCs w:val="32"/>
          <w:shd w:val="clear" w:color="auto" w:fill="FFFFFF"/>
        </w:rPr>
      </w:pPr>
      <w:r>
        <w:rPr>
          <w:rFonts w:hint="eastAsia" w:ascii="仿宋" w:hAnsi="仿宋" w:eastAsia="仿宋" w:cs="仿宋"/>
          <w:b/>
          <w:color w:val="auto"/>
          <w:sz w:val="32"/>
          <w:szCs w:val="32"/>
          <w:shd w:val="clear" w:color="auto" w:fill="FFFFFF"/>
        </w:rPr>
        <w:t>（二）规范运行管理，汇聚发展合力</w:t>
      </w:r>
    </w:p>
    <w:p>
      <w:pPr>
        <w:spacing w:beforeLines="0" w:afterLines="0" w:line="560" w:lineRule="exact"/>
        <w:ind w:firstLine="640" w:firstLineChars="200"/>
        <w:jc w:val="both"/>
        <w:rPr>
          <w:rFonts w:hint="eastAsia" w:ascii="仿宋" w:hAnsi="仿宋" w:eastAsia="仿宋" w:cs="仿宋"/>
          <w:color w:val="auto"/>
          <w:sz w:val="32"/>
          <w:szCs w:val="32"/>
          <w:shd w:val="clear" w:color="auto" w:fill="FFFFFF"/>
        </w:rPr>
      </w:pPr>
      <w:r>
        <w:rPr>
          <w:rFonts w:hint="eastAsia" w:ascii="仿宋" w:hAnsi="仿宋" w:eastAsia="仿宋" w:cs="仿宋"/>
          <w:color w:val="auto"/>
          <w:sz w:val="32"/>
          <w:szCs w:val="32"/>
          <w:shd w:val="clear" w:color="auto" w:fill="FFFFFF"/>
        </w:rPr>
        <w:t>一是制度建设更加完善。今年以来，中心先后印发了《湖南省网络商品交易监测中心财务管理办法（试行）》《湖南省网络商品交易监测中心国内公务接待管理办法（试行）》《湖南省网络商品交易监测中心网络监测工作制度》《湖南省网络商品交易监测中心编外聘用人员薪酬管理办法》等8个工作制度。二是议事决策更加科学。网监中心始终坚持“三重一大”决策制度及民主集中制度，在充分酝酿、集体讨论、民主决策的基础上科学议事决策。截止当前，共召开支委会15次、主任办公会8次。三是队伍管理更加优化。网监中心以工会活动为载体坚持工作生活两手抓，组织了“追寻红色足迹、徒步纯溪美景”主题春游工会活动，创造性的开展了“一周一节体育课”运动健身活动，组织观看了《八百矿工上井冈》等红色电影。同时，中心坚持做好离休干部“一人一策”精准服务工作，并配合省委老干部局和电视台完成了离休干部口述历史视频拍摄、红色实物资料捐献及红色建档工作，对离休干部、困难职工、因病住院和老人过世者上门慰问共23次。</w:t>
      </w:r>
    </w:p>
    <w:p>
      <w:pPr>
        <w:spacing w:beforeLines="0" w:afterLines="0" w:line="560" w:lineRule="exact"/>
        <w:ind w:firstLine="640" w:firstLineChars="200"/>
        <w:jc w:val="both"/>
        <w:rPr>
          <w:rFonts w:hint="eastAsia" w:ascii="仿宋" w:hAnsi="仿宋" w:eastAsia="仿宋" w:cs="仿宋"/>
          <w:b/>
          <w:color w:val="auto"/>
          <w:sz w:val="32"/>
          <w:szCs w:val="32"/>
          <w:shd w:val="clear" w:color="auto" w:fill="FFFFFF"/>
        </w:rPr>
      </w:pPr>
      <w:r>
        <w:rPr>
          <w:rFonts w:hint="eastAsia" w:ascii="仿宋" w:hAnsi="仿宋" w:eastAsia="仿宋" w:cs="仿宋"/>
          <w:b/>
          <w:color w:val="auto"/>
          <w:sz w:val="32"/>
          <w:szCs w:val="32"/>
          <w:shd w:val="clear" w:color="auto" w:fill="FFFFFF"/>
        </w:rPr>
        <w:t>(三)聚焦主责主业，持续提质强能</w:t>
      </w:r>
    </w:p>
    <w:p>
      <w:pPr>
        <w:spacing w:beforeLines="0" w:afterLines="0" w:line="560" w:lineRule="exact"/>
        <w:ind w:firstLine="640" w:firstLineChars="200"/>
        <w:jc w:val="both"/>
        <w:rPr>
          <w:rFonts w:hint="eastAsia" w:ascii="仿宋" w:hAnsi="仿宋" w:eastAsia="仿宋" w:cs="仿宋"/>
          <w:color w:val="auto"/>
          <w:sz w:val="32"/>
          <w:szCs w:val="32"/>
          <w:shd w:val="clear" w:color="auto" w:fill="FFFFFF"/>
        </w:rPr>
      </w:pPr>
      <w:r>
        <w:rPr>
          <w:rFonts w:hint="eastAsia" w:ascii="仿宋" w:hAnsi="仿宋" w:eastAsia="仿宋" w:cs="仿宋"/>
          <w:color w:val="auto"/>
          <w:sz w:val="32"/>
          <w:szCs w:val="32"/>
          <w:shd w:val="clear" w:color="auto" w:fill="FFFFFF"/>
        </w:rPr>
        <w:t>一是持续完善主体数据和商品数据。今年中心在监管系统上增加了细目商城、靠谱e家、所见、步步高Better购等湖南省辖区内电商交易平台的网络市场主体数据和商品数据及MCN主体数据。截至目前，网监系统采集的网络市场主体总计722387家，国内、省内主流电商平台湖南省辖区网店商品数14882975条。二是继续推进各项监测任务。除长江禁捕、野生动物保护等六个日常监测外，今年省局新增“特供酒”清源打链、网售危险化学品等多个专项监测需求。总计监测到网络交易各类涉嫌违法线索472条、相关商品数881条、取证固证472条，监测广告77434条数，1741033条次。复核广告监测线索807条，发现涉嫌违法广告线索113条，处理率达到100%。三是圆满完成平台内经营者身份信息统计报送。2次对湖南省辖区内的 41 家平台报送信息进行了填报规则的一对一指导，并通过人工方式对其报送数据进行了完整性和一致性校验。共报送平台数71家，报送平台内经营者110289家。四是稳步推进监测平台项目建设。今年网监中心上报了第二期监测平台建设项目需求方案，并按照省局领导和大数据中心的要求具体细化和修改了建设项目需求方案内容，力求实现对网络交易及广告信息的自动化采集和分析，并拓展优化违法线索发现模型，构建对市监业务全面支撑能力。</w:t>
      </w:r>
    </w:p>
    <w:p>
      <w:pPr>
        <w:spacing w:beforeLines="0" w:afterLines="0" w:line="560" w:lineRule="exact"/>
        <w:jc w:val="both"/>
        <w:rPr>
          <w:rFonts w:hint="eastAsia" w:ascii="仿宋" w:hAnsi="仿宋" w:eastAsia="仿宋" w:cs="仿宋"/>
          <w:b/>
          <w:color w:val="auto"/>
          <w:sz w:val="32"/>
          <w:szCs w:val="32"/>
        </w:rPr>
      </w:pPr>
      <w:r>
        <w:rPr>
          <w:rFonts w:hint="eastAsia" w:ascii="仿宋" w:hAnsi="仿宋" w:eastAsia="仿宋" w:cs="仿宋"/>
          <w:b/>
          <w:color w:val="auto"/>
          <w:sz w:val="32"/>
          <w:szCs w:val="32"/>
        </w:rPr>
        <w:t>七、存在的问题及原因分析</w:t>
      </w:r>
    </w:p>
    <w:p>
      <w:pPr>
        <w:spacing w:beforeLines="0" w:afterLines="0" w:line="600" w:lineRule="exact"/>
        <w:ind w:firstLine="640" w:firstLineChars="200"/>
        <w:rPr>
          <w:rFonts w:hint="eastAsia" w:ascii="Times New Roman" w:hAnsi="Times New Roman" w:eastAsia="Times New Roman"/>
          <w:sz w:val="32"/>
          <w:szCs w:val="32"/>
        </w:rPr>
      </w:pPr>
      <w:r>
        <w:rPr>
          <w:rFonts w:hint="eastAsia" w:ascii="楷体" w:hAnsi="楷体" w:eastAsia="楷体" w:cs="黑体"/>
          <w:b/>
          <w:sz w:val="32"/>
          <w:szCs w:val="32"/>
        </w:rPr>
        <w:t>（一）监测平台项目启动困难。</w:t>
      </w:r>
      <w:r>
        <w:rPr>
          <w:rFonts w:hint="eastAsia" w:ascii="Times New Roman" w:hAnsi="Times New Roman" w:eastAsia="仿宋"/>
          <w:sz w:val="32"/>
          <w:szCs w:val="32"/>
        </w:rPr>
        <w:t>2023年省局拨款300万用于启动省局网络市场综合监测平台第一期建设，但由于省局2023年信息化项目整体无法立项，导致平台建设无法启动。中心目前在用的湖南省网络交易监管系统，其监测功能模块只具备</w:t>
      </w:r>
      <w:r>
        <w:rPr>
          <w:rFonts w:hint="eastAsia" w:ascii="Times New Roman" w:hAnsi="Times New Roman" w:eastAsia="Times New Roman"/>
          <w:sz w:val="32"/>
          <w:szCs w:val="32"/>
        </w:rPr>
        <w:t>PC</w:t>
      </w:r>
      <w:r>
        <w:rPr>
          <w:rFonts w:hint="eastAsia" w:ascii="Times New Roman" w:hAnsi="Times New Roman" w:eastAsia="仿宋"/>
          <w:sz w:val="32"/>
          <w:szCs w:val="32"/>
        </w:rPr>
        <w:t>端数据推送、数据处理、关键词搜索等基础功能，但随着数字经济时代步入快速发展周期，网络交易活动伴生出的违法违规行为具有发现难、认定难、处置难等特点，该系统的监测功能已严重滞后于发展形势。</w:t>
      </w:r>
    </w:p>
    <w:p>
      <w:pPr>
        <w:spacing w:beforeLines="0" w:afterLines="0" w:line="600" w:lineRule="exact"/>
        <w:ind w:firstLine="640" w:firstLineChars="200"/>
        <w:rPr>
          <w:rFonts w:hint="eastAsia" w:ascii="仿宋" w:hAnsi="仿宋" w:eastAsia="仿宋"/>
          <w:sz w:val="32"/>
          <w:szCs w:val="32"/>
        </w:rPr>
      </w:pPr>
      <w:r>
        <w:rPr>
          <w:rFonts w:hint="eastAsia" w:ascii="楷体" w:hAnsi="楷体" w:eastAsia="楷体" w:cs="黑体"/>
          <w:b/>
          <w:sz w:val="32"/>
          <w:szCs w:val="32"/>
        </w:rPr>
        <w:t>（二）干部队伍结构有待进一步优化</w:t>
      </w:r>
      <w:r>
        <w:rPr>
          <w:rFonts w:hint="eastAsia" w:ascii="Times New Roman" w:hAnsi="Times New Roman" w:eastAsia="仿宋"/>
          <w:sz w:val="32"/>
          <w:szCs w:val="32"/>
        </w:rPr>
        <w:t>。今年4月10日，俊君局长在局长专题会议上</w:t>
      </w:r>
      <w:r>
        <w:rPr>
          <w:rFonts w:hint="eastAsia" w:ascii="仿宋" w:hAnsi="仿宋" w:eastAsia="仿宋"/>
          <w:sz w:val="32"/>
          <w:szCs w:val="32"/>
        </w:rPr>
        <w:t xml:space="preserve">针对网监中心人员结构不够合理的问题作出了明确的解决指示，明确从网监中心交流出5-6人，空出编制招录高素质专技人才，尽快优化专业结构、实现人岗相适。在省局党组和人事处的关心支持下，中心进一步强化班子队伍，调整对调班子成员1名；有力夯实专技人才队伍，调入1名计算机专业人员，并招聘了2名编制外计算机专业人才，但干部队伍结构和专业素养离中心全面转型和监测事业发展的需求还有一定差距。  </w:t>
      </w:r>
    </w:p>
    <w:p>
      <w:pPr>
        <w:numPr>
          <w:ilvl w:val="0"/>
          <w:numId w:val="0"/>
        </w:numPr>
        <w:spacing w:beforeLines="0" w:afterLines="0" w:line="560" w:lineRule="exact"/>
        <w:jc w:val="both"/>
        <w:rPr>
          <w:rFonts w:hint="eastAsia" w:ascii="仿宋" w:hAnsi="仿宋" w:eastAsia="仿宋" w:cs="仿宋"/>
          <w:b/>
          <w:color w:val="auto"/>
          <w:sz w:val="32"/>
          <w:szCs w:val="32"/>
        </w:rPr>
      </w:pPr>
      <w:r>
        <w:rPr>
          <w:rFonts w:hint="eastAsia" w:ascii="仿宋" w:hAnsi="仿宋" w:eastAsia="仿宋" w:cs="仿宋"/>
          <w:b/>
          <w:color w:val="auto"/>
          <w:sz w:val="32"/>
          <w:szCs w:val="32"/>
        </w:rPr>
        <w:t>八、下一步改进措施</w:t>
      </w:r>
    </w:p>
    <w:p>
      <w:pPr>
        <w:pStyle w:val="19"/>
        <w:spacing w:beforeLines="0" w:afterLines="0" w:line="560" w:lineRule="exact"/>
        <w:ind w:firstLine="640"/>
        <w:jc w:val="both"/>
        <w:rPr>
          <w:rFonts w:hint="eastAsia" w:ascii="仿宋" w:hAnsi="仿宋" w:eastAsia="仿宋" w:cs="仿宋"/>
          <w:color w:val="auto"/>
          <w:sz w:val="32"/>
          <w:szCs w:val="32"/>
        </w:rPr>
      </w:pPr>
      <w:r>
        <w:rPr>
          <w:rFonts w:hint="eastAsia" w:ascii="仿宋" w:hAnsi="仿宋" w:eastAsia="仿宋" w:cs="仿宋"/>
          <w:color w:val="auto"/>
          <w:sz w:val="32"/>
          <w:szCs w:val="32"/>
        </w:rPr>
        <w:t>1、加强预算编制管理，科学规划预算编制工作，进一步提高预算编制的科学性、合理性、严谨性和可控性；加强项目支出调度，加强项目开展事前事中事后的跟踪和支出进度的控制，开展项目绩效评价，科学、合理安排支出项目。</w:t>
      </w:r>
    </w:p>
    <w:p>
      <w:pPr>
        <w:spacing w:beforeLines="0" w:afterLines="0" w:line="560" w:lineRule="exact"/>
        <w:ind w:firstLine="640" w:firstLineChars="200"/>
        <w:jc w:val="both"/>
        <w:rPr>
          <w:rFonts w:hint="eastAsia" w:ascii="仿宋" w:hAnsi="仿宋" w:eastAsia="仿宋" w:cs="仿宋"/>
          <w:b/>
          <w:color w:val="auto"/>
          <w:sz w:val="32"/>
          <w:szCs w:val="32"/>
        </w:rPr>
      </w:pPr>
      <w:r>
        <w:rPr>
          <w:rFonts w:hint="eastAsia" w:ascii="仿宋" w:hAnsi="仿宋" w:eastAsia="仿宋" w:cs="仿宋"/>
          <w:color w:val="auto"/>
          <w:sz w:val="32"/>
          <w:szCs w:val="32"/>
          <w:shd w:val="clear" w:color="auto" w:fill="FFFFFF"/>
        </w:rPr>
        <w:t>2、严格执行财务管理制度。严格执行中央和上级有关部门出台的财经纪律相关规定，严控"三公经费"、会议费、培训费、差旅费等支出。严格报账程序，严把票据审核关。认真做好会计核算，做到账账相符、账实相符。强化内控建设，防范防控岗位风险,确保各项工作有序运转。</w:t>
      </w:r>
      <w:r>
        <w:rPr>
          <w:rFonts w:hint="eastAsia" w:ascii="仿宋" w:hAnsi="仿宋" w:eastAsia="仿宋" w:cs="仿宋"/>
          <w:color w:val="auto"/>
          <w:sz w:val="32"/>
          <w:szCs w:val="32"/>
          <w:shd w:val="clear" w:color="auto" w:fill="FFFFFF"/>
        </w:rPr>
        <w:br w:type="textWrapping"/>
      </w:r>
      <w:r>
        <w:rPr>
          <w:rFonts w:hint="eastAsia" w:ascii="仿宋" w:hAnsi="仿宋" w:eastAsia="仿宋" w:cs="仿宋"/>
          <w:color w:val="auto"/>
          <w:sz w:val="32"/>
          <w:szCs w:val="32"/>
          <w:shd w:val="clear" w:color="auto" w:fill="FFFFFF"/>
        </w:rPr>
        <w:t xml:space="preserve">    3.加强政府采购管理。严格按照《政府采购法》和《政府采购法实施条例》等相关管理规定，根据省采购目录和财政部门预算管理要求，编制政府采购计划，将采购项目全部纳入部门预算管理。采购前,各部门做好相关事前沟通,做好采购政策咨询，了解相关业务规范；采购中,合理选择采购方式，确保采购流程合理合规，做好采购项目信息的公开公示工作；采购后,抓好采购项目的监管工作，严把质量关力求实效。</w:t>
      </w:r>
      <w:r>
        <w:rPr>
          <w:rFonts w:hint="eastAsia" w:ascii="仿宋" w:hAnsi="仿宋" w:eastAsia="仿宋" w:cs="仿宋"/>
          <w:color w:val="auto"/>
          <w:sz w:val="32"/>
          <w:szCs w:val="32"/>
          <w:shd w:val="clear" w:color="auto" w:fill="FFFFFF"/>
        </w:rPr>
        <w:br w:type="textWrapping"/>
      </w:r>
      <w:r>
        <w:rPr>
          <w:rFonts w:hint="eastAsia" w:ascii="仿宋" w:hAnsi="仿宋" w:eastAsia="仿宋" w:cs="仿宋"/>
          <w:color w:val="auto"/>
          <w:sz w:val="32"/>
          <w:szCs w:val="32"/>
          <w:shd w:val="clear" w:color="auto" w:fill="FFFFFF"/>
        </w:rPr>
        <w:t xml:space="preserve">    4.加强固定资产管理。严格按照湖南省财政厅关于印发《湖南省省级行政事业单位通用办公设备和办公家具配置限额标准》的通知执行配置，做好固定资产采买、报废、调整等相关管理工作，部门资产录入固定资产管理系统,建立资产管理卡片,及时更新资产管理信息系统数据，做到账实相符、账卡相符。</w:t>
      </w:r>
      <w:r>
        <w:rPr>
          <w:rFonts w:hint="eastAsia" w:ascii="仿宋" w:hAnsi="仿宋" w:eastAsia="仿宋" w:cs="仿宋"/>
          <w:color w:val="auto"/>
          <w:sz w:val="32"/>
          <w:szCs w:val="32"/>
          <w:shd w:val="clear" w:color="auto" w:fill="FFFFFF"/>
        </w:rPr>
        <w:br w:type="textWrapping"/>
      </w:r>
      <w:r>
        <w:rPr>
          <w:rFonts w:hint="eastAsia" w:ascii="仿宋" w:hAnsi="仿宋" w:eastAsia="仿宋" w:cs="仿宋"/>
          <w:b/>
          <w:color w:val="auto"/>
          <w:sz w:val="32"/>
          <w:szCs w:val="32"/>
        </w:rPr>
        <w:t>九、单位整体支出绩效自评结果拟应用和公开情况</w:t>
      </w:r>
    </w:p>
    <w:p>
      <w:pPr>
        <w:spacing w:beforeLines="0" w:afterLines="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2024年中心严格按照年初预算批复认真组织实施,严格执行财政相关管理规定，确保了单位正常运行，较好地完成了2024年部门预算编制和决算汇总工作，单位整体支出绩效目标实现较好，全面完成绩效目标任务，绩效自评结果为良好。</w:t>
      </w:r>
    </w:p>
    <w:p>
      <w:pPr>
        <w:spacing w:beforeLines="0" w:afterLines="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按文件要求在指定网站上公开。</w:t>
      </w:r>
    </w:p>
    <w:p>
      <w:pPr>
        <w:spacing w:beforeLines="0" w:afterLines="0" w:line="560" w:lineRule="exact"/>
        <w:jc w:val="both"/>
        <w:rPr>
          <w:rFonts w:hint="eastAsia" w:ascii="仿宋" w:hAnsi="仿宋" w:eastAsia="仿宋" w:cs="仿宋"/>
          <w:b/>
          <w:color w:val="auto"/>
          <w:sz w:val="32"/>
          <w:szCs w:val="32"/>
        </w:rPr>
      </w:pPr>
      <w:r>
        <w:rPr>
          <w:rFonts w:hint="eastAsia" w:ascii="仿宋" w:hAnsi="仿宋" w:eastAsia="仿宋" w:cs="仿宋"/>
          <w:b/>
          <w:color w:val="auto"/>
          <w:sz w:val="32"/>
          <w:szCs w:val="32"/>
        </w:rPr>
        <w:t>十、其他需要说明的情况</w:t>
      </w:r>
    </w:p>
    <w:p>
      <w:pPr>
        <w:spacing w:beforeLines="0" w:afterLines="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无</w:t>
      </w:r>
    </w:p>
    <w:p>
      <w:pPr>
        <w:pStyle w:val="3"/>
        <w:spacing w:beforeLines="0" w:afterLines="0"/>
        <w:rPr>
          <w:rFonts w:hint="eastAsia" w:ascii="仿宋" w:hAnsi="仿宋" w:eastAsia="仿宋" w:cs="仿宋"/>
          <w:color w:val="auto"/>
          <w:sz w:val="32"/>
          <w:szCs w:val="32"/>
        </w:rPr>
      </w:pPr>
    </w:p>
    <w:p>
      <w:pPr>
        <w:spacing w:beforeLines="0" w:afterLines="0"/>
        <w:rPr>
          <w:rFonts w:hint="eastAsia" w:ascii="仿宋" w:hAnsi="仿宋" w:eastAsia="仿宋" w:cs="仿宋"/>
          <w:color w:val="auto"/>
          <w:sz w:val="32"/>
          <w:szCs w:val="32"/>
        </w:rPr>
      </w:pPr>
    </w:p>
    <w:p>
      <w:pPr>
        <w:pStyle w:val="3"/>
        <w:spacing w:beforeLines="0" w:afterLines="0"/>
        <w:rPr>
          <w:rFonts w:hint="eastAsia" w:ascii="仿宋" w:hAnsi="仿宋" w:eastAsia="仿宋" w:cs="仿宋"/>
          <w:sz w:val="32"/>
          <w:szCs w:val="32"/>
        </w:rPr>
      </w:pPr>
    </w:p>
    <w:p>
      <w:pPr>
        <w:spacing w:beforeLines="0" w:afterLines="0"/>
        <w:rPr>
          <w:rFonts w:hint="eastAsia" w:ascii="仿宋" w:hAnsi="仿宋" w:eastAsia="仿宋" w:cs="仿宋"/>
          <w:sz w:val="32"/>
          <w:szCs w:val="32"/>
        </w:rPr>
      </w:pPr>
    </w:p>
    <w:p>
      <w:pPr>
        <w:pStyle w:val="3"/>
        <w:spacing w:beforeLines="0" w:afterLines="0"/>
        <w:rPr>
          <w:rFonts w:hint="eastAsia" w:ascii="仿宋" w:hAnsi="仿宋" w:eastAsia="仿宋" w:cs="仿宋"/>
          <w:sz w:val="32"/>
          <w:szCs w:val="32"/>
        </w:rPr>
      </w:pPr>
    </w:p>
    <w:p>
      <w:pPr>
        <w:spacing w:beforeLines="0" w:afterLines="0"/>
        <w:rPr>
          <w:rFonts w:hint="eastAsia" w:ascii="仿宋" w:hAnsi="仿宋" w:eastAsia="仿宋" w:cs="仿宋"/>
          <w:sz w:val="32"/>
          <w:szCs w:val="32"/>
        </w:rPr>
      </w:pPr>
    </w:p>
    <w:p>
      <w:pPr>
        <w:pStyle w:val="3"/>
        <w:spacing w:beforeLines="0" w:afterLines="0"/>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rPr>
      </w:pPr>
    </w:p>
    <w:p>
      <w:pPr>
        <w:spacing w:beforeLines="0" w:afterLines="0"/>
        <w:rPr>
          <w:rFonts w:hint="eastAsia" w:ascii="仿宋" w:hAnsi="仿宋" w:eastAsia="仿宋" w:cs="仿宋"/>
          <w:sz w:val="32"/>
          <w:szCs w:val="32"/>
        </w:rPr>
      </w:pPr>
    </w:p>
    <w:p>
      <w:pPr>
        <w:spacing w:before="104" w:beforeLines="0" w:afterLines="0" w:line="424" w:lineRule="exact"/>
        <w:rPr>
          <w:rFonts w:hint="eastAsia" w:ascii="微软雅黑" w:hAnsi="微软雅黑" w:eastAsia="微软雅黑" w:cs="微软雅黑"/>
          <w:spacing w:val="-11"/>
          <w:sz w:val="44"/>
          <w:szCs w:val="44"/>
        </w:rPr>
      </w:pPr>
      <w:r>
        <w:rPr>
          <w:rFonts w:hint="eastAsia" w:ascii="黑体" w:hAnsi="黑体" w:eastAsia="黑体" w:cs="黑体"/>
          <w:spacing w:val="-27"/>
          <w:position w:val="1"/>
          <w:sz w:val="32"/>
          <w:szCs w:val="32"/>
        </w:rPr>
        <w:t>附</w:t>
      </w:r>
      <w:r>
        <w:rPr>
          <w:rFonts w:hint="eastAsia" w:ascii="黑体" w:hAnsi="黑体" w:eastAsia="黑体" w:cs="黑体"/>
          <w:spacing w:val="-26"/>
          <w:position w:val="1"/>
          <w:sz w:val="32"/>
          <w:szCs w:val="32"/>
        </w:rPr>
        <w:t>件</w:t>
      </w:r>
      <w:r>
        <w:rPr>
          <w:rFonts w:hint="eastAsia" w:ascii="Times New Roman" w:hAnsi="Times New Roman" w:eastAsia="Times New Roman" w:cs="Times New Roman"/>
          <w:spacing w:val="-26"/>
          <w:position w:val="1"/>
          <w:sz w:val="32"/>
          <w:szCs w:val="32"/>
        </w:rPr>
        <w:t>2</w:t>
      </w:r>
    </w:p>
    <w:p>
      <w:pPr>
        <w:widowControl w:val="0"/>
        <w:autoSpaceDE/>
        <w:autoSpaceDN/>
        <w:adjustRightInd/>
        <w:snapToGrid/>
        <w:spacing w:beforeLines="0" w:afterLines="0" w:line="600" w:lineRule="exact"/>
        <w:jc w:val="center"/>
        <w:textAlignment w:val="auto"/>
        <w:rPr>
          <w:rFonts w:hint="eastAsia" w:ascii="Times New Roman" w:hAnsi="Times New Roman" w:eastAsia="仿宋_GB2312" w:cs="Times New Roman"/>
          <w:color w:val="auto"/>
          <w:sz w:val="44"/>
          <w:szCs w:val="44"/>
        </w:rPr>
      </w:pPr>
      <w:r>
        <w:rPr>
          <w:rFonts w:hint="default" w:cs="Times New Roman"/>
          <w:color w:val="auto"/>
          <w:sz w:val="36"/>
          <w:szCs w:val="36"/>
        </w:rPr>
        <w:t>2024</w:t>
      </w:r>
      <w:r>
        <w:rPr>
          <w:rFonts w:hint="eastAsia" w:ascii="Times New Roman" w:hAnsi="Times New Roman" w:eastAsia="仿宋_GB2312" w:cs="Times New Roman"/>
          <w:color w:val="auto"/>
          <w:sz w:val="36"/>
          <w:szCs w:val="36"/>
        </w:rPr>
        <w:t>年度单位整体支出绩效评价基础数据表</w:t>
      </w:r>
    </w:p>
    <w:p>
      <w:pPr>
        <w:spacing w:before="104" w:beforeLines="0" w:afterLines="0" w:line="424" w:lineRule="exact"/>
        <w:jc w:val="center"/>
        <w:rPr>
          <w:rFonts w:hint="eastAsia" w:ascii="微软雅黑" w:hAnsi="微软雅黑" w:eastAsia="微软雅黑" w:cs="微软雅黑"/>
          <w:spacing w:val="-8"/>
          <w:sz w:val="44"/>
          <w:szCs w:val="44"/>
        </w:rPr>
      </w:pPr>
    </w:p>
    <w:tbl>
      <w:tblPr>
        <w:tblStyle w:val="13"/>
        <w:tblW w:w="967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财政供养人员情况（人）</w:t>
            </w:r>
          </w:p>
        </w:tc>
        <w:tc>
          <w:tcPr>
            <w:tcW w:w="2038"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仿宋_GB2312" w:cs="Times New Roman"/>
                <w:b/>
                <w:sz w:val="20"/>
                <w:szCs w:val="20"/>
              </w:rPr>
              <w:t>编制数</w:t>
            </w:r>
          </w:p>
        </w:tc>
        <w:tc>
          <w:tcPr>
            <w:tcW w:w="224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Times New Roman" w:cs="Times New Roman"/>
                <w:b/>
                <w:sz w:val="20"/>
                <w:szCs w:val="20"/>
              </w:rPr>
              <w:t>202</w:t>
            </w:r>
            <w:r>
              <w:rPr>
                <w:rFonts w:hint="eastAsia" w:ascii="Times New Roman" w:hAnsi="Times New Roman" w:eastAsia="仿宋_GB2312" w:cs="Times New Roman"/>
                <w:b/>
                <w:sz w:val="20"/>
                <w:szCs w:val="20"/>
              </w:rPr>
              <w:t>4年实际在职人数</w:t>
            </w:r>
          </w:p>
        </w:tc>
        <w:tc>
          <w:tcPr>
            <w:tcW w:w="2041"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仿宋_GB2312" w:cs="Times New Roman"/>
                <w:b/>
                <w:sz w:val="20"/>
                <w:szCs w:val="20"/>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p>
        </w:tc>
        <w:tc>
          <w:tcPr>
            <w:tcW w:w="2038"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17</w:t>
            </w:r>
          </w:p>
        </w:tc>
        <w:tc>
          <w:tcPr>
            <w:tcW w:w="224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18</w:t>
            </w:r>
          </w:p>
        </w:tc>
        <w:tc>
          <w:tcPr>
            <w:tcW w:w="2041"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105.88%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经费控制情况（万元）</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Times New Roman" w:cs="Times New Roman"/>
                <w:b/>
                <w:sz w:val="20"/>
                <w:szCs w:val="20"/>
              </w:rPr>
              <w:t>202</w:t>
            </w:r>
            <w:r>
              <w:rPr>
                <w:rFonts w:hint="eastAsia" w:ascii="Times New Roman" w:hAnsi="Times New Roman" w:eastAsia="仿宋_GB2312" w:cs="Times New Roman"/>
                <w:b/>
                <w:sz w:val="20"/>
                <w:szCs w:val="20"/>
              </w:rPr>
              <w:t>3年决算数</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Times New Roman" w:cs="Times New Roman"/>
                <w:b/>
                <w:sz w:val="20"/>
                <w:szCs w:val="20"/>
              </w:rPr>
              <w:t>202</w:t>
            </w:r>
            <w:r>
              <w:rPr>
                <w:rFonts w:hint="eastAsia" w:ascii="Times New Roman" w:hAnsi="Times New Roman" w:eastAsia="仿宋_GB2312" w:cs="Times New Roman"/>
                <w:b/>
                <w:sz w:val="20"/>
                <w:szCs w:val="20"/>
              </w:rPr>
              <w:t>4年预算数</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b/>
                <w:sz w:val="20"/>
                <w:szCs w:val="20"/>
              </w:rPr>
            </w:pPr>
            <w:r>
              <w:rPr>
                <w:rFonts w:hint="eastAsia" w:ascii="Times New Roman" w:hAnsi="Times New Roman" w:eastAsia="Times New Roman" w:cs="Times New Roman"/>
                <w:b/>
                <w:sz w:val="20"/>
                <w:szCs w:val="20"/>
              </w:rPr>
              <w:t>202</w:t>
            </w:r>
            <w:r>
              <w:rPr>
                <w:rFonts w:hint="eastAsia" w:ascii="Times New Roman" w:hAnsi="Times New Roman" w:eastAsia="仿宋_GB2312" w:cs="Times New Roman"/>
                <w:b/>
                <w:sz w:val="20"/>
                <w:szCs w:val="20"/>
              </w:rPr>
              <w:t>4年决算数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三公经费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4.85</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32.6</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21.70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1</w:t>
            </w:r>
            <w:r>
              <w:rPr>
                <w:rFonts w:hint="eastAsia" w:ascii="Times New Roman" w:hAnsi="Times New Roman" w:eastAsia="仿宋_GB2312" w:cs="Times New Roman"/>
                <w:sz w:val="20"/>
                <w:szCs w:val="20"/>
              </w:rPr>
              <w:t>、公务用车购置和维护经费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4.50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32</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21.59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其中：公车购置</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27</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17.98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公车运行维护</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4.50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5</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3.61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2</w:t>
            </w:r>
            <w:r>
              <w:rPr>
                <w:rFonts w:hint="eastAsia" w:ascii="Times New Roman" w:hAnsi="Times New Roman" w:eastAsia="仿宋_GB2312" w:cs="Times New Roman"/>
                <w:sz w:val="20"/>
                <w:szCs w:val="20"/>
              </w:rPr>
              <w:t>、出国经费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3</w:t>
            </w:r>
            <w:r>
              <w:rPr>
                <w:rFonts w:hint="eastAsia" w:ascii="Times New Roman" w:hAnsi="Times New Roman" w:eastAsia="仿宋_GB2312" w:cs="Times New Roman"/>
                <w:sz w:val="20"/>
                <w:szCs w:val="20"/>
              </w:rPr>
              <w:t>、公务接待</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0.35</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0.60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lang w:val="en-US" w:eastAsia="zh-CN"/>
              </w:rPr>
              <w:t>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项目支出：</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95.71</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FF0000"/>
                <w:sz w:val="20"/>
                <w:szCs w:val="20"/>
              </w:rPr>
            </w:pPr>
            <w:r>
              <w:rPr>
                <w:rFonts w:hint="eastAsia" w:ascii="Times New Roman" w:hAnsi="Times New Roman" w:eastAsia="仿宋_GB2312" w:cs="Times New Roman"/>
                <w:color w:val="auto"/>
                <w:sz w:val="20"/>
                <w:szCs w:val="20"/>
              </w:rPr>
              <w:t>64.50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1</w:t>
            </w:r>
            <w:r>
              <w:rPr>
                <w:rFonts w:hint="eastAsia" w:ascii="Times New Roman" w:hAnsi="Times New Roman" w:eastAsia="仿宋_GB2312" w:cs="Times New Roman"/>
                <w:sz w:val="20"/>
                <w:szCs w:val="20"/>
              </w:rPr>
              <w:t>、业务工作经费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48.25</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32.50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19.62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2</w:t>
            </w:r>
            <w:r>
              <w:rPr>
                <w:rFonts w:hint="eastAsia" w:ascii="Times New Roman" w:hAnsi="Times New Roman" w:eastAsia="仿宋_GB2312" w:cs="Times New Roman"/>
                <w:sz w:val="20"/>
                <w:szCs w:val="20"/>
              </w:rPr>
              <w:t>、运行维护经费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9.92</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32</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22.98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ind w:firstLine="400" w:firstLineChars="200"/>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3</w:t>
            </w:r>
            <w:r>
              <w:rPr>
                <w:rFonts w:hint="eastAsia" w:ascii="Times New Roman" w:hAnsi="Times New Roman" w:eastAsia="仿宋_GB2312" w:cs="Times New Roman"/>
                <w:sz w:val="20"/>
                <w:szCs w:val="20"/>
              </w:rPr>
              <w:t>、省级专项资金</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FF0000"/>
                <w:sz w:val="20"/>
                <w:szCs w:val="20"/>
              </w:rPr>
            </w:pPr>
            <w:r>
              <w:rPr>
                <w:rFonts w:hint="eastAsia" w:ascii="Times New Roman" w:hAnsi="Times New Roman" w:eastAsia="仿宋_GB2312" w:cs="Times New Roman"/>
                <w:color w:val="auto"/>
                <w:sz w:val="20"/>
                <w:szCs w:val="20"/>
              </w:rPr>
              <w:t>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ind w:firstLine="400" w:firstLineChars="2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市场监督管理专项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ind w:firstLine="400" w:firstLineChars="200"/>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4、省直事业单位经费补助</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0</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ind w:firstLine="400" w:firstLineChars="200"/>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5、其他事业发展资金</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37.54</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公用经费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66.86</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115.14</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112.93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其中：办公经费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FF0000"/>
                <w:sz w:val="20"/>
                <w:szCs w:val="20"/>
              </w:rPr>
            </w:pPr>
            <w:r>
              <w:rPr>
                <w:rFonts w:hint="eastAsia" w:ascii="Times New Roman" w:hAnsi="Times New Roman" w:eastAsia="仿宋_GB2312" w:cs="Times New Roman"/>
                <w:color w:val="auto"/>
                <w:sz w:val="20"/>
                <w:szCs w:val="20"/>
              </w:rPr>
              <w:t>59.27</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98.2</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97.95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水费、电费、差旅费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FF0000"/>
                <w:sz w:val="20"/>
                <w:szCs w:val="20"/>
              </w:rPr>
            </w:pPr>
            <w:r>
              <w:rPr>
                <w:rFonts w:hint="eastAsia" w:ascii="Times New Roman" w:hAnsi="Times New Roman" w:eastAsia="仿宋_GB2312" w:cs="Times New Roman"/>
                <w:color w:val="auto"/>
                <w:sz w:val="20"/>
                <w:szCs w:val="20"/>
              </w:rPr>
              <w:t>5.71</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3</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会议费、培训费</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FF0000"/>
                <w:sz w:val="20"/>
                <w:szCs w:val="20"/>
              </w:rPr>
            </w:pPr>
            <w:r>
              <w:rPr>
                <w:rFonts w:hint="eastAsia" w:ascii="Times New Roman" w:hAnsi="Times New Roman" w:eastAsia="仿宋_GB2312" w:cs="Times New Roman"/>
                <w:color w:val="auto"/>
                <w:sz w:val="20"/>
                <w:szCs w:val="20"/>
              </w:rPr>
              <w:t>1.88</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13.94</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政府采购金额</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64.50</w:t>
            </w: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仿宋_GB2312" w:cs="Times New Roman"/>
                <w:sz w:val="20"/>
                <w:szCs w:val="20"/>
                <w:lang w:eastAsia="zh-CN"/>
              </w:rPr>
            </w:pPr>
            <w:r>
              <w:rPr>
                <w:rFonts w:hint="eastAsia" w:ascii="Times New Roman" w:hAnsi="Times New Roman" w:eastAsia="仿宋_GB2312" w:cs="Times New Roman"/>
                <w:color w:val="auto"/>
                <w:sz w:val="20"/>
                <w:szCs w:val="20"/>
                <w:lang w:val="en-US" w:eastAsia="zh-CN"/>
              </w:rPr>
              <w:t>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xml:space="preserve">部门基本支出预算调整 </w:t>
            </w:r>
          </w:p>
        </w:tc>
        <w:tc>
          <w:tcPr>
            <w:tcW w:w="2038"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w:t>
            </w:r>
          </w:p>
        </w:tc>
        <w:tc>
          <w:tcPr>
            <w:tcW w:w="2240"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p>
        </w:tc>
        <w:tc>
          <w:tcPr>
            <w:tcW w:w="2041" w:type="dxa"/>
            <w:gridSpan w:val="2"/>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vMerge w:val="restart"/>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楼堂馆所控制情况</w:t>
            </w:r>
            <w:r>
              <w:rPr>
                <w:rFonts w:hint="eastAsia" w:ascii="Times New Roman" w:hAnsi="Times New Roman" w:eastAsia="Times New Roman" w:cs="Times New Roman"/>
                <w:sz w:val="20"/>
                <w:szCs w:val="20"/>
              </w:rPr>
              <w:br w:type="textWrapping"/>
            </w:r>
            <w:r>
              <w:rPr>
                <w:rFonts w:hint="eastAsia" w:ascii="Times New Roman" w:hAnsi="Times New Roman" w:eastAsia="仿宋_GB2312" w:cs="Times New Roman"/>
                <w:sz w:val="20"/>
                <w:szCs w:val="20"/>
              </w:rPr>
              <w:t>（2023年完工项目）</w:t>
            </w:r>
          </w:p>
        </w:tc>
        <w:tc>
          <w:tcPr>
            <w:tcW w:w="1189"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批复规模</w:t>
            </w:r>
            <w:r>
              <w:rPr>
                <w:rFonts w:hint="eastAsia" w:ascii="Times New Roman" w:hAnsi="Times New Roman" w:eastAsia="Times New Roman" w:cs="Times New Roman"/>
                <w:sz w:val="20"/>
                <w:szCs w:val="20"/>
              </w:rPr>
              <w:br w:type="textWrapping"/>
            </w:r>
            <w:r>
              <w:rPr>
                <w:rFonts w:hint="eastAsia" w:ascii="Times New Roman" w:hAnsi="Times New Roman" w:eastAsia="仿宋_GB2312" w:cs="Times New Roman"/>
                <w:sz w:val="20"/>
                <w:szCs w:val="20"/>
              </w:rPr>
              <w:t>（</w:t>
            </w:r>
            <w:r>
              <w:rPr>
                <w:rFonts w:hint="default" w:hAnsi="Times New Roman" w:eastAsia="Times New Roman" w:cs="Times New Roman"/>
                <w:sz w:val="20"/>
                <w:szCs w:val="20"/>
              </w:rPr>
              <w:t>㎡</w:t>
            </w:r>
            <w:r>
              <w:rPr>
                <w:rFonts w:hint="eastAsia" w:ascii="Times New Roman" w:hAnsi="Times New Roman" w:eastAsia="仿宋_GB2312" w:cs="Times New Roman"/>
                <w:sz w:val="20"/>
                <w:szCs w:val="20"/>
              </w:rPr>
              <w:t>）</w:t>
            </w:r>
          </w:p>
        </w:tc>
        <w:tc>
          <w:tcPr>
            <w:tcW w:w="849"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实际规模（</w:t>
            </w:r>
            <w:r>
              <w:rPr>
                <w:rFonts w:hint="default" w:hAnsi="Times New Roman" w:eastAsia="Times New Roman" w:cs="Times New Roman"/>
                <w:sz w:val="20"/>
                <w:szCs w:val="20"/>
              </w:rPr>
              <w:t>㎡</w:t>
            </w:r>
            <w:r>
              <w:rPr>
                <w:rFonts w:hint="eastAsia" w:ascii="Times New Roman" w:hAnsi="Times New Roman" w:eastAsia="仿宋_GB2312" w:cs="Times New Roman"/>
                <w:sz w:val="20"/>
                <w:szCs w:val="20"/>
              </w:rPr>
              <w:t>）</w:t>
            </w:r>
          </w:p>
        </w:tc>
        <w:tc>
          <w:tcPr>
            <w:tcW w:w="1129"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规模控制率</w:t>
            </w:r>
          </w:p>
        </w:tc>
        <w:tc>
          <w:tcPr>
            <w:tcW w:w="1111"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预算投资（万元）</w:t>
            </w:r>
          </w:p>
        </w:tc>
        <w:tc>
          <w:tcPr>
            <w:tcW w:w="1081"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实际投资（万元）</w:t>
            </w:r>
          </w:p>
        </w:tc>
        <w:tc>
          <w:tcPr>
            <w:tcW w:w="960"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投资概算控制率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p>
        </w:tc>
        <w:tc>
          <w:tcPr>
            <w:tcW w:w="1189" w:type="dxa"/>
            <w:tcBorders>
              <w:top w:val="nil"/>
              <w:left w:val="nil"/>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849" w:type="dxa"/>
            <w:tcBorders>
              <w:top w:val="nil"/>
              <w:left w:val="nil"/>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1129" w:type="dxa"/>
            <w:tcBorders>
              <w:top w:val="nil"/>
              <w:left w:val="nil"/>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1111" w:type="dxa"/>
            <w:tcBorders>
              <w:top w:val="nil"/>
              <w:left w:val="nil"/>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1081" w:type="dxa"/>
            <w:tcBorders>
              <w:top w:val="nil"/>
              <w:left w:val="nil"/>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960" w:type="dxa"/>
            <w:tcBorders>
              <w:top w:val="nil"/>
              <w:left w:val="nil"/>
              <w:bottom w:val="single" w:color="auto" w:sz="4" w:space="0"/>
              <w:right w:val="single" w:color="auto" w:sz="4" w:space="0"/>
              <w:tl2br w:val="nil"/>
              <w:tr2bl w:val="nil"/>
            </w:tcBorders>
            <w:vAlign w:val="center"/>
          </w:tcPr>
          <w:p>
            <w:pPr>
              <w:spacing w:beforeLines="0" w:afterLines="0" w:line="36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厉行节约保障措施</w:t>
            </w:r>
          </w:p>
        </w:tc>
        <w:tc>
          <w:tcPr>
            <w:tcW w:w="6319" w:type="dxa"/>
            <w:gridSpan w:val="6"/>
            <w:tcBorders>
              <w:top w:val="single" w:color="auto" w:sz="4" w:space="0"/>
              <w:left w:val="nil"/>
              <w:bottom w:val="single" w:color="auto" w:sz="4" w:space="0"/>
              <w:right w:val="single" w:color="000000" w:sz="4" w:space="0"/>
              <w:tl2br w:val="nil"/>
              <w:tr2bl w:val="nil"/>
            </w:tcBorders>
            <w:vAlign w:val="center"/>
          </w:tcPr>
          <w:p>
            <w:pPr>
              <w:spacing w:beforeLines="0" w:afterLines="0" w:line="3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r>
    </w:tbl>
    <w:p>
      <w:pPr>
        <w:spacing w:beforeLines="0" w:afterLines="0" w:line="400" w:lineRule="exact"/>
        <w:rPr>
          <w:rFonts w:hint="eastAsia" w:ascii="Times New Roman" w:hAnsi="Times New Roman" w:eastAsia="Times New Roman" w:cs="Times New Roman"/>
          <w:sz w:val="22"/>
          <w:szCs w:val="21"/>
        </w:rPr>
      </w:pPr>
      <w:r>
        <w:rPr>
          <w:rFonts w:hint="eastAsia" w:ascii="Times New Roman" w:hAnsi="Times New Roman" w:eastAsia="仿宋_GB2312" w:cs="Times New Roman"/>
          <w:sz w:val="22"/>
          <w:szCs w:val="21"/>
        </w:rPr>
        <w:t>说明：“项目支出”需要填报基本支出以外的所有项目支出情况，“公用经费”填报基本支出中的一般商品和服务支出。</w:t>
      </w:r>
    </w:p>
    <w:p>
      <w:pPr>
        <w:spacing w:beforeLines="0" w:afterLines="0" w:line="400" w:lineRule="exact"/>
        <w:rPr>
          <w:rFonts w:hint="eastAsia" w:ascii="Times New Roman" w:hAnsi="Times New Roman" w:eastAsia="Times New Roman" w:cs="Times New Roman"/>
          <w:sz w:val="22"/>
          <w:szCs w:val="21"/>
        </w:rPr>
      </w:pPr>
    </w:p>
    <w:p>
      <w:pPr>
        <w:spacing w:beforeLines="0" w:afterLines="0" w:line="277" w:lineRule="auto"/>
        <w:rPr>
          <w:rFonts w:hint="eastAsia" w:ascii="黑体" w:hAnsi="黑体" w:eastAsia="黑体" w:cs="黑体"/>
          <w:spacing w:val="-27"/>
          <w:position w:val="1"/>
          <w:sz w:val="32"/>
          <w:szCs w:val="32"/>
        </w:rPr>
      </w:pPr>
      <w:r>
        <w:rPr>
          <w:rFonts w:hint="eastAsia" w:ascii="Times New Roman" w:hAnsi="Times New Roman" w:eastAsia="仿宋_GB2312" w:cs="Times New Roman"/>
          <w:sz w:val="22"/>
          <w:szCs w:val="21"/>
        </w:rPr>
        <w:t>填表人：宋炀</w:t>
      </w:r>
      <w:r>
        <w:rPr>
          <w:rFonts w:hint="eastAsia" w:ascii="Times New Roman" w:hAnsi="Times New Roman" w:eastAsia="Times New Roman" w:cs="Times New Roman"/>
          <w:sz w:val="22"/>
          <w:szCs w:val="21"/>
        </w:rPr>
        <w:t xml:space="preserve">  </w:t>
      </w:r>
      <w:r>
        <w:rPr>
          <w:rFonts w:hint="eastAsia" w:ascii="Times New Roman" w:hAnsi="Times New Roman" w:eastAsia="仿宋_GB2312" w:cs="Times New Roman"/>
          <w:sz w:val="22"/>
          <w:szCs w:val="21"/>
        </w:rPr>
        <w:t xml:space="preserve">填报日期：2025.03.28 </w:t>
      </w:r>
      <w:r>
        <w:rPr>
          <w:rFonts w:hint="eastAsia" w:ascii="Times New Roman" w:hAnsi="Times New Roman" w:eastAsia="Times New Roman" w:cs="Times New Roman"/>
          <w:sz w:val="22"/>
          <w:szCs w:val="21"/>
        </w:rPr>
        <w:t xml:space="preserve">  </w:t>
      </w:r>
      <w:r>
        <w:rPr>
          <w:rFonts w:hint="eastAsia" w:ascii="Times New Roman" w:hAnsi="Times New Roman" w:eastAsia="仿宋_GB2312" w:cs="Times New Roman"/>
          <w:sz w:val="22"/>
          <w:szCs w:val="21"/>
        </w:rPr>
        <w:t>联系电话：13507419009</w:t>
      </w:r>
      <w:r>
        <w:rPr>
          <w:rFonts w:hint="eastAsia" w:ascii="Times New Roman" w:hAnsi="Times New Roman" w:eastAsia="Times New Roman" w:cs="Times New Roman"/>
          <w:sz w:val="22"/>
          <w:szCs w:val="21"/>
        </w:rPr>
        <w:t xml:space="preserve"> </w:t>
      </w:r>
      <w:r>
        <w:rPr>
          <w:rFonts w:hint="eastAsia" w:ascii="Times New Roman" w:hAnsi="Times New Roman" w:eastAsia="仿宋_GB2312" w:cs="Times New Roman"/>
          <w:sz w:val="22"/>
          <w:szCs w:val="21"/>
        </w:rPr>
        <w:t xml:space="preserve"> 单位负责人签字：</w:t>
      </w:r>
      <w:r>
        <w:rPr>
          <w:rFonts w:hint="eastAsia" w:ascii="Times New Roman" w:hAnsi="Times New Roman" w:eastAsia="仿宋_GB2312" w:cs="Times New Roman"/>
          <w:sz w:val="22"/>
          <w:szCs w:val="21"/>
          <w:lang w:eastAsia="zh-CN"/>
        </w:rPr>
        <w:t>颜珠容</w:t>
      </w:r>
    </w:p>
    <w:p>
      <w:pPr>
        <w:spacing w:before="104" w:beforeLines="0" w:afterLines="0" w:line="425" w:lineRule="exact"/>
        <w:ind w:left="69"/>
        <w:rPr>
          <w:rFonts w:hint="eastAsia" w:ascii="黑体" w:hAnsi="黑体" w:eastAsia="黑体" w:cs="黑体"/>
          <w:spacing w:val="-27"/>
          <w:position w:val="1"/>
          <w:sz w:val="32"/>
          <w:szCs w:val="32"/>
        </w:rPr>
      </w:pPr>
    </w:p>
    <w:p>
      <w:pPr>
        <w:pStyle w:val="2"/>
        <w:spacing w:beforeLines="0" w:afterLines="0"/>
        <w:rPr>
          <w:rFonts w:hint="default"/>
          <w:sz w:val="21"/>
          <w:szCs w:val="20"/>
        </w:rPr>
      </w:pPr>
    </w:p>
    <w:p>
      <w:pPr>
        <w:spacing w:before="104" w:beforeLines="0" w:afterLines="0" w:line="425" w:lineRule="exact"/>
        <w:rPr>
          <w:rFonts w:hint="eastAsia" w:ascii="Times New Roman" w:hAnsi="Times New Roman" w:eastAsia="Times New Roman" w:cs="Times New Roman"/>
          <w:sz w:val="32"/>
          <w:szCs w:val="32"/>
        </w:rPr>
      </w:pPr>
      <w:r>
        <w:rPr>
          <w:rFonts w:hint="eastAsia" w:ascii="黑体" w:hAnsi="黑体" w:eastAsia="黑体" w:cs="黑体"/>
          <w:spacing w:val="-27"/>
          <w:position w:val="1"/>
          <w:sz w:val="32"/>
          <w:szCs w:val="32"/>
        </w:rPr>
        <w:t>附</w:t>
      </w:r>
      <w:r>
        <w:rPr>
          <w:rFonts w:hint="eastAsia" w:ascii="黑体" w:hAnsi="黑体" w:eastAsia="黑体" w:cs="黑体"/>
          <w:spacing w:val="-24"/>
          <w:position w:val="1"/>
          <w:sz w:val="32"/>
          <w:szCs w:val="32"/>
        </w:rPr>
        <w:t>件</w:t>
      </w:r>
      <w:r>
        <w:rPr>
          <w:rFonts w:hint="eastAsia" w:ascii="Times New Roman" w:hAnsi="Times New Roman" w:eastAsia="Times New Roman" w:cs="Times New Roman"/>
          <w:spacing w:val="-24"/>
          <w:position w:val="1"/>
          <w:sz w:val="32"/>
          <w:szCs w:val="32"/>
        </w:rPr>
        <w:t>3</w:t>
      </w:r>
    </w:p>
    <w:p>
      <w:pPr>
        <w:spacing w:before="242" w:beforeLines="0" w:afterLines="0" w:line="183" w:lineRule="auto"/>
        <w:ind w:left="1168"/>
        <w:rPr>
          <w:rFonts w:hint="eastAsia" w:ascii="微软雅黑" w:hAnsi="微软雅黑" w:eastAsia="微软雅黑" w:cs="微软雅黑"/>
          <w:spacing w:val="-9"/>
          <w:sz w:val="44"/>
          <w:szCs w:val="44"/>
        </w:rPr>
      </w:pPr>
      <w:r>
        <w:rPr>
          <w:rFonts w:hint="eastAsia" w:ascii="微软雅黑" w:hAnsi="微软雅黑" w:eastAsia="微软雅黑" w:cs="微软雅黑"/>
          <w:spacing w:val="-10"/>
          <w:sz w:val="44"/>
          <w:szCs w:val="44"/>
        </w:rPr>
        <w:t>2023年度单位整体支出绩效自评</w:t>
      </w:r>
      <w:r>
        <w:rPr>
          <w:rFonts w:hint="eastAsia" w:ascii="微软雅黑" w:hAnsi="微软雅黑" w:eastAsia="微软雅黑" w:cs="微软雅黑"/>
          <w:spacing w:val="-9"/>
          <w:sz w:val="44"/>
          <w:szCs w:val="44"/>
        </w:rPr>
        <w:t>表</w:t>
      </w:r>
    </w:p>
    <w:tbl>
      <w:tblPr>
        <w:tblStyle w:val="13"/>
        <w:tblW w:w="995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5"/>
        <w:gridCol w:w="1065"/>
        <w:gridCol w:w="1022"/>
        <w:gridCol w:w="1254"/>
        <w:gridCol w:w="82"/>
        <w:gridCol w:w="1289"/>
        <w:gridCol w:w="1174"/>
        <w:gridCol w:w="115"/>
        <w:gridCol w:w="591"/>
        <w:gridCol w:w="149"/>
        <w:gridCol w:w="712"/>
        <w:gridCol w:w="117"/>
        <w:gridCol w:w="1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jc w:val="center"/>
        </w:trPr>
        <w:tc>
          <w:tcPr>
            <w:tcW w:w="1065"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省级预算部门名称</w:t>
            </w:r>
          </w:p>
        </w:tc>
        <w:tc>
          <w:tcPr>
            <w:tcW w:w="8894" w:type="dxa"/>
            <w:gridSpan w:val="1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湖南省网络商品交易监测中心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jc w:val="center"/>
        </w:trPr>
        <w:tc>
          <w:tcPr>
            <w:tcW w:w="1065" w:type="dxa"/>
            <w:vMerge w:val="restart"/>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年度预</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算申请</w:t>
            </w:r>
            <w:r>
              <w:rPr>
                <w:rFonts w:hint="eastAsia" w:ascii="Times New Roman" w:hAnsi="Times New Roman" w:eastAsia="Times New Roman" w:cs="Times New Roman"/>
                <w:sz w:val="20"/>
                <w:szCs w:val="20"/>
              </w:rPr>
              <w:br w:type="textWrapping"/>
            </w:r>
            <w:r>
              <w:rPr>
                <w:rFonts w:hint="eastAsia" w:ascii="Times New Roman" w:hAnsi="Times New Roman" w:eastAsia="仿宋_GB2312" w:cs="Times New Roman"/>
                <w:sz w:val="20"/>
                <w:szCs w:val="20"/>
              </w:rPr>
              <w:t>（万元）</w:t>
            </w:r>
          </w:p>
        </w:tc>
        <w:tc>
          <w:tcPr>
            <w:tcW w:w="2087"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25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年初预算数</w:t>
            </w:r>
          </w:p>
        </w:tc>
        <w:tc>
          <w:tcPr>
            <w:tcW w:w="137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全年预算数</w:t>
            </w:r>
          </w:p>
        </w:tc>
        <w:tc>
          <w:tcPr>
            <w:tcW w:w="117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全年执行数</w:t>
            </w:r>
          </w:p>
        </w:tc>
        <w:tc>
          <w:tcPr>
            <w:tcW w:w="70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86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执行率</w:t>
            </w:r>
          </w:p>
        </w:tc>
        <w:tc>
          <w:tcPr>
            <w:tcW w:w="144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2087"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年度资金总额</w:t>
            </w:r>
          </w:p>
        </w:tc>
        <w:tc>
          <w:tcPr>
            <w:tcW w:w="125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1010.80</w:t>
            </w:r>
          </w:p>
        </w:tc>
        <w:tc>
          <w:tcPr>
            <w:tcW w:w="137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768.80</w:t>
            </w:r>
          </w:p>
        </w:tc>
        <w:tc>
          <w:tcPr>
            <w:tcW w:w="117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741.53</w:t>
            </w:r>
          </w:p>
        </w:tc>
        <w:tc>
          <w:tcPr>
            <w:tcW w:w="70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w:t>
            </w:r>
          </w:p>
        </w:tc>
        <w:tc>
          <w:tcPr>
            <w:tcW w:w="86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96.45%</w:t>
            </w:r>
          </w:p>
        </w:tc>
        <w:tc>
          <w:tcPr>
            <w:tcW w:w="1441"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color w:val="auto"/>
                <w:sz w:val="20"/>
                <w:szCs w:val="20"/>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按收入性质分：768.80</w:t>
            </w:r>
          </w:p>
        </w:tc>
        <w:tc>
          <w:tcPr>
            <w:tcW w:w="4182" w:type="dxa"/>
            <w:gridSpan w:val="7"/>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按支出性质分：768.80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 xml:space="preserve">  </w:t>
            </w:r>
            <w:r>
              <w:rPr>
                <w:rFonts w:hint="eastAsia" w:ascii="Times New Roman" w:hAnsi="Times New Roman" w:eastAsia="仿宋_GB2312" w:cs="Times New Roman"/>
                <w:sz w:val="20"/>
                <w:szCs w:val="20"/>
              </w:rPr>
              <w:t>其中：  一般公共预算：768.80</w:t>
            </w:r>
          </w:p>
        </w:tc>
        <w:tc>
          <w:tcPr>
            <w:tcW w:w="4182" w:type="dxa"/>
            <w:gridSpan w:val="7"/>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其中：基本支出：704.30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nil"/>
              <w:left w:val="nil"/>
              <w:bottom w:val="single" w:color="auto" w:sz="4" w:space="0"/>
              <w:right w:val="single" w:color="auto" w:sz="4" w:space="0"/>
              <w:tl2br w:val="nil"/>
              <w:tr2bl w:val="nil"/>
            </w:tcBorders>
            <w:vAlign w:val="center"/>
          </w:tcPr>
          <w:p>
            <w:pPr>
              <w:spacing w:beforeLines="0" w:afterLines="0" w:line="240" w:lineRule="exact"/>
              <w:ind w:firstLine="800" w:firstLineChars="4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政府性基金拨款：0</w:t>
            </w:r>
          </w:p>
        </w:tc>
        <w:tc>
          <w:tcPr>
            <w:tcW w:w="4182" w:type="dxa"/>
            <w:gridSpan w:val="7"/>
            <w:tcBorders>
              <w:top w:val="nil"/>
              <w:left w:val="nil"/>
              <w:bottom w:val="single" w:color="auto" w:sz="4" w:space="0"/>
              <w:right w:val="single" w:color="auto" w:sz="4" w:space="0"/>
              <w:tl2br w:val="nil"/>
              <w:tr2bl w:val="nil"/>
            </w:tcBorders>
            <w:vAlign w:val="center"/>
          </w:tcPr>
          <w:p>
            <w:pPr>
              <w:spacing w:beforeLines="0" w:afterLines="0" w:line="240" w:lineRule="exact"/>
              <w:ind w:firstLine="600" w:firstLineChars="300"/>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项目支出：64.50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纳入专户管理的非税收入拨款：0</w:t>
            </w:r>
          </w:p>
        </w:tc>
        <w:tc>
          <w:tcPr>
            <w:tcW w:w="4182" w:type="dxa"/>
            <w:gridSpan w:val="7"/>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nil"/>
              <w:left w:val="nil"/>
              <w:bottom w:val="single" w:color="auto" w:sz="4" w:space="0"/>
              <w:right w:val="single" w:color="auto" w:sz="4" w:space="0"/>
              <w:tl2br w:val="nil"/>
              <w:tr2bl w:val="nil"/>
            </w:tcBorders>
            <w:vAlign w:val="center"/>
          </w:tcPr>
          <w:p>
            <w:pPr>
              <w:spacing w:beforeLines="0" w:afterLines="0" w:line="240" w:lineRule="exact"/>
              <w:ind w:firstLine="1400" w:firstLineChars="7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其他资金：0</w:t>
            </w:r>
          </w:p>
        </w:tc>
        <w:tc>
          <w:tcPr>
            <w:tcW w:w="4182" w:type="dxa"/>
            <w:gridSpan w:val="7"/>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restart"/>
            <w:tcBorders>
              <w:top w:val="nil"/>
              <w:left w:val="single" w:color="auto" w:sz="4" w:space="0"/>
              <w:bottom w:val="single" w:color="000000"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年度总体目标</w:t>
            </w:r>
          </w:p>
        </w:tc>
        <w:tc>
          <w:tcPr>
            <w:tcW w:w="4712" w:type="dxa"/>
            <w:gridSpan w:val="5"/>
            <w:tcBorders>
              <w:top w:val="single" w:color="auto" w:sz="4" w:space="0"/>
              <w:left w:val="nil"/>
              <w:bottom w:val="single" w:color="auto" w:sz="4" w:space="0"/>
              <w:right w:val="single" w:color="000000"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预期目标</w:t>
            </w:r>
          </w:p>
        </w:tc>
        <w:tc>
          <w:tcPr>
            <w:tcW w:w="4182" w:type="dxa"/>
            <w:gridSpan w:val="7"/>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实际完成情况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7" w:hRule="atLeast"/>
          <w:jc w:val="center"/>
        </w:trPr>
        <w:tc>
          <w:tcPr>
            <w:tcW w:w="106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4712" w:type="dxa"/>
            <w:gridSpan w:val="5"/>
            <w:tcBorders>
              <w:top w:val="single" w:color="auto" w:sz="4" w:space="0"/>
              <w:left w:val="nil"/>
              <w:bottom w:val="single" w:color="auto" w:sz="4" w:space="0"/>
              <w:right w:val="single" w:color="000000"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768.80　</w:t>
            </w:r>
          </w:p>
        </w:tc>
        <w:tc>
          <w:tcPr>
            <w:tcW w:w="4182" w:type="dxa"/>
            <w:gridSpan w:val="7"/>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741.53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2" w:hRule="atLeast"/>
          <w:jc w:val="center"/>
        </w:trPr>
        <w:tc>
          <w:tcPr>
            <w:tcW w:w="1065" w:type="dxa"/>
            <w:vMerge w:val="restart"/>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绩</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效</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标</w:t>
            </w:r>
          </w:p>
          <w:p>
            <w:pPr>
              <w:spacing w:beforeLines="0" w:afterLines="0" w:line="240" w:lineRule="exact"/>
              <w:jc w:val="center"/>
              <w:rPr>
                <w:rFonts w:hint="eastAsia" w:ascii="Times New Roman" w:hAnsi="Times New Roman" w:eastAsia="Times New Roman" w:cs="Times New Roman"/>
                <w:sz w:val="20"/>
                <w:szCs w:val="20"/>
              </w:rPr>
            </w:pPr>
          </w:p>
        </w:tc>
        <w:tc>
          <w:tcPr>
            <w:tcW w:w="1065"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一级指标</w:t>
            </w:r>
          </w:p>
        </w:tc>
        <w:tc>
          <w:tcPr>
            <w:tcW w:w="1022"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二级指标</w:t>
            </w:r>
          </w:p>
        </w:tc>
        <w:tc>
          <w:tcPr>
            <w:tcW w:w="13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三级指标</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both"/>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年度指标值</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实际完成值</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得分</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both"/>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restart"/>
            <w:tcBorders>
              <w:top w:val="single" w:color="auto" w:sz="4" w:space="0"/>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产出指标</w:t>
            </w:r>
          </w:p>
          <w:p>
            <w:pPr>
              <w:spacing w:beforeLines="0" w:afterLines="0" w:line="240" w:lineRule="exact"/>
              <w:jc w:val="center"/>
              <w:rPr>
                <w:rFonts w:hint="eastAsia" w:ascii="Times New Roman" w:hAnsi="Times New Roman" w:eastAsia="Times New Roman" w:cs="Times New Roman"/>
                <w:sz w:val="20"/>
                <w:szCs w:val="20"/>
              </w:rPr>
            </w:pP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(50</w:t>
            </w:r>
            <w:r>
              <w:rPr>
                <w:rFonts w:hint="eastAsia" w:ascii="Times New Roman" w:hAnsi="Times New Roman" w:eastAsia="仿宋_GB2312" w:cs="Times New Roman"/>
                <w:sz w:val="20"/>
                <w:szCs w:val="20"/>
              </w:rPr>
              <w:t>分)</w:t>
            </w:r>
          </w:p>
        </w:tc>
        <w:tc>
          <w:tcPr>
            <w:tcW w:w="1022" w:type="dxa"/>
            <w:vMerge w:val="restart"/>
            <w:tcBorders>
              <w:top w:val="single" w:color="auto" w:sz="4" w:space="0"/>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数量指标</w:t>
            </w: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网络商品交易监测工作</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≥20条</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color w:val="auto"/>
                <w:sz w:val="15"/>
                <w:szCs w:val="15"/>
              </w:rPr>
              <w:t>24条</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color w:val="auto"/>
                <w:sz w:val="15"/>
                <w:szCs w:val="15"/>
              </w:rPr>
              <w:t>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color w:val="auto"/>
                <w:sz w:val="15"/>
                <w:szCs w:val="15"/>
              </w:rPr>
              <w:t>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监测报告报送</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12次</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12次</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5"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购置公务用车</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FF0000"/>
                <w:sz w:val="15"/>
                <w:szCs w:val="15"/>
              </w:rPr>
            </w:pPr>
            <w:r>
              <w:rPr>
                <w:rFonts w:hint="eastAsia" w:ascii="仿宋" w:hAnsi="仿宋" w:eastAsia="仿宋" w:cs="仿宋"/>
                <w:sz w:val="15"/>
                <w:szCs w:val="15"/>
              </w:rPr>
              <w:t>1辆</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sz w:val="15"/>
                <w:szCs w:val="15"/>
              </w:rPr>
              <w:t>1辆</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1"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购置办公设备</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≥2台/套</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10台/套</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restart"/>
            <w:tcBorders>
              <w:top w:val="single" w:color="auto" w:sz="4" w:space="0"/>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质量指标</w:t>
            </w: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办公设备购置验收合格率</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公务用车购置验收合格率</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2"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提供网络交易专项监测涉嫌违法线索</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≥500条</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585条</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监测报告报送完成率</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100%</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时效指标</w:t>
            </w: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bottom"/>
          </w:tcPr>
          <w:p>
            <w:pPr>
              <w:spacing w:beforeLines="0" w:afterLines="0" w:line="240" w:lineRule="exact"/>
              <w:jc w:val="both"/>
              <w:rPr>
                <w:rFonts w:hint="eastAsia" w:ascii="仿宋" w:hAnsi="仿宋" w:eastAsia="仿宋" w:cs="仿宋"/>
                <w:sz w:val="15"/>
                <w:szCs w:val="15"/>
              </w:rPr>
            </w:pPr>
            <w:r>
              <w:rPr>
                <w:rFonts w:hint="eastAsia" w:ascii="仿宋" w:hAnsi="仿宋" w:eastAsia="仿宋" w:cs="仿宋"/>
                <w:sz w:val="15"/>
                <w:szCs w:val="15"/>
              </w:rPr>
              <w:t>任务完成时间</w:t>
            </w:r>
          </w:p>
          <w:p>
            <w:pPr>
              <w:spacing w:beforeLines="0" w:afterLines="0" w:line="240" w:lineRule="exact"/>
              <w:jc w:val="center"/>
              <w:rPr>
                <w:rFonts w:hint="eastAsia" w:ascii="仿宋" w:hAnsi="仿宋" w:eastAsia="仿宋" w:cs="仿宋"/>
                <w:sz w:val="15"/>
                <w:szCs w:val="15"/>
              </w:rPr>
            </w:pPr>
          </w:p>
        </w:tc>
        <w:tc>
          <w:tcPr>
            <w:tcW w:w="1289"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2024年12月31日前</w:t>
            </w:r>
          </w:p>
        </w:tc>
        <w:tc>
          <w:tcPr>
            <w:tcW w:w="1289"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2024年12月31日前</w:t>
            </w:r>
          </w:p>
        </w:tc>
        <w:tc>
          <w:tcPr>
            <w:tcW w:w="7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1324"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5"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restart"/>
            <w:tcBorders>
              <w:top w:val="single" w:color="auto" w:sz="4" w:space="0"/>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成本指标</w:t>
            </w: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购置公务用车</w:t>
            </w:r>
          </w:p>
        </w:tc>
        <w:tc>
          <w:tcPr>
            <w:tcW w:w="1289"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≤27万元</w:t>
            </w:r>
          </w:p>
        </w:tc>
        <w:tc>
          <w:tcPr>
            <w:tcW w:w="128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17.98万元</w:t>
            </w:r>
          </w:p>
        </w:tc>
        <w:tc>
          <w:tcPr>
            <w:tcW w:w="74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4</w:t>
            </w:r>
          </w:p>
        </w:tc>
        <w:tc>
          <w:tcPr>
            <w:tcW w:w="1324"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7"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购置办公设备</w:t>
            </w:r>
          </w:p>
        </w:tc>
        <w:tc>
          <w:tcPr>
            <w:tcW w:w="1289"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≤5万元</w:t>
            </w:r>
          </w:p>
        </w:tc>
        <w:tc>
          <w:tcPr>
            <w:tcW w:w="128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5万元</w:t>
            </w:r>
          </w:p>
        </w:tc>
        <w:tc>
          <w:tcPr>
            <w:tcW w:w="74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1324"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2"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22"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网络监管系统数据服务工作项目成本</w:t>
            </w:r>
          </w:p>
        </w:tc>
        <w:tc>
          <w:tcPr>
            <w:tcW w:w="1289"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≤32.50万元</w:t>
            </w:r>
          </w:p>
        </w:tc>
        <w:tc>
          <w:tcPr>
            <w:tcW w:w="128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19.62万元</w:t>
            </w:r>
          </w:p>
        </w:tc>
        <w:tc>
          <w:tcPr>
            <w:tcW w:w="74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5</w:t>
            </w:r>
          </w:p>
        </w:tc>
        <w:tc>
          <w:tcPr>
            <w:tcW w:w="829"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4</w:t>
            </w:r>
          </w:p>
        </w:tc>
        <w:tc>
          <w:tcPr>
            <w:tcW w:w="1324"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1"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效益指标</w:t>
            </w:r>
          </w:p>
          <w:p>
            <w:pPr>
              <w:spacing w:beforeLines="0" w:afterLines="0" w:line="240" w:lineRule="exact"/>
              <w:rPr>
                <w:rFonts w:hint="eastAsia" w:ascii="Times New Roman" w:hAnsi="Times New Roman" w:eastAsia="Times New Roman" w:cs="Times New Roman"/>
                <w:sz w:val="20"/>
                <w:szCs w:val="20"/>
              </w:rPr>
            </w:pPr>
          </w:p>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（30分）</w:t>
            </w:r>
          </w:p>
          <w:p>
            <w:pPr>
              <w:spacing w:beforeLines="0" w:afterLines="0" w:line="240" w:lineRule="exact"/>
              <w:rPr>
                <w:rFonts w:hint="eastAsia" w:ascii="Times New Roman" w:hAnsi="Times New Roman" w:eastAsia="Times New Roman" w:cs="Times New Roman"/>
                <w:sz w:val="20"/>
                <w:szCs w:val="20"/>
              </w:rPr>
            </w:pPr>
          </w:p>
        </w:tc>
        <w:tc>
          <w:tcPr>
            <w:tcW w:w="1022"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20"/>
                <w:szCs w:val="20"/>
              </w:rPr>
            </w:pPr>
            <w:r>
              <w:rPr>
                <w:rFonts w:hint="eastAsia" w:ascii="仿宋" w:hAnsi="仿宋" w:eastAsia="仿宋" w:cs="仿宋"/>
                <w:sz w:val="20"/>
                <w:szCs w:val="20"/>
              </w:rPr>
              <w:t>社会效</w:t>
            </w:r>
          </w:p>
          <w:p>
            <w:pPr>
              <w:spacing w:beforeLines="0" w:afterLines="0" w:line="240" w:lineRule="exact"/>
              <w:jc w:val="center"/>
              <w:rPr>
                <w:rFonts w:hint="eastAsia" w:ascii="仿宋" w:hAnsi="仿宋" w:eastAsia="仿宋" w:cs="仿宋"/>
                <w:sz w:val="20"/>
                <w:szCs w:val="20"/>
              </w:rPr>
            </w:pPr>
            <w:r>
              <w:rPr>
                <w:rFonts w:hint="eastAsia" w:ascii="仿宋" w:hAnsi="仿宋" w:eastAsia="仿宋" w:cs="仿宋"/>
                <w:sz w:val="20"/>
                <w:szCs w:val="20"/>
              </w:rPr>
              <w:t>益指标</w:t>
            </w:r>
          </w:p>
        </w:tc>
        <w:tc>
          <w:tcPr>
            <w:tcW w:w="1336"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营造良好的网络环境</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逐步完善提升</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逐步完善提升</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15</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15</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2"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p>
        </w:tc>
        <w:tc>
          <w:tcPr>
            <w:tcW w:w="10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22"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可持续影响指标</w:t>
            </w:r>
          </w:p>
        </w:tc>
        <w:tc>
          <w:tcPr>
            <w:tcW w:w="133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网络交易市场环境的维护</w:t>
            </w:r>
          </w:p>
        </w:tc>
        <w:tc>
          <w:tcPr>
            <w:tcW w:w="1289"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持续支撑，进一步优化</w:t>
            </w:r>
          </w:p>
        </w:tc>
        <w:tc>
          <w:tcPr>
            <w:tcW w:w="1289"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持续支撑，进一步优化</w:t>
            </w:r>
          </w:p>
        </w:tc>
        <w:tc>
          <w:tcPr>
            <w:tcW w:w="7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15</w:t>
            </w:r>
          </w:p>
        </w:tc>
        <w:tc>
          <w:tcPr>
            <w:tcW w:w="829"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15</w:t>
            </w:r>
          </w:p>
        </w:tc>
        <w:tc>
          <w:tcPr>
            <w:tcW w:w="1324"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2" w:hRule="atLeast"/>
          <w:jc w:val="center"/>
        </w:trPr>
        <w:tc>
          <w:tcPr>
            <w:tcW w:w="1065"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p>
        </w:tc>
        <w:tc>
          <w:tcPr>
            <w:tcW w:w="1065"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满意度</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指标</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（10分）</w:t>
            </w:r>
          </w:p>
        </w:tc>
        <w:tc>
          <w:tcPr>
            <w:tcW w:w="1022"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服务对象满意度指标</w:t>
            </w:r>
          </w:p>
        </w:tc>
        <w:tc>
          <w:tcPr>
            <w:tcW w:w="13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业务处室满意度</w:t>
            </w:r>
          </w:p>
        </w:tc>
        <w:tc>
          <w:tcPr>
            <w:tcW w:w="1289" w:type="dxa"/>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r>
              <w:rPr>
                <w:rFonts w:hint="eastAsia" w:ascii="仿宋" w:hAnsi="仿宋" w:eastAsia="仿宋" w:cs="仿宋"/>
                <w:sz w:val="15"/>
                <w:szCs w:val="15"/>
              </w:rPr>
              <w:t>≧90%</w:t>
            </w:r>
          </w:p>
        </w:tc>
        <w:tc>
          <w:tcPr>
            <w:tcW w:w="128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90%</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sz w:val="15"/>
                <w:szCs w:val="15"/>
              </w:rPr>
            </w:pPr>
            <w:r>
              <w:rPr>
                <w:rFonts w:hint="eastAsia" w:ascii="仿宋" w:hAnsi="仿宋" w:eastAsia="仿宋" w:cs="仿宋"/>
                <w:sz w:val="15"/>
                <w:szCs w:val="15"/>
              </w:rPr>
              <w:t>10</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仿宋" w:hAnsi="仿宋" w:eastAsia="仿宋" w:cs="仿宋"/>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4" w:hRule="atLeast"/>
          <w:jc w:val="center"/>
        </w:trPr>
        <w:tc>
          <w:tcPr>
            <w:tcW w:w="7066" w:type="dxa"/>
            <w:gridSpan w:val="8"/>
            <w:tcBorders>
              <w:top w:val="single" w:color="auto" w:sz="4" w:space="0"/>
              <w:left w:val="single" w:color="auto" w:sz="4" w:space="0"/>
              <w:bottom w:val="single" w:color="auto" w:sz="4" w:space="0"/>
              <w:right w:val="single" w:color="000000"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总分</w:t>
            </w:r>
          </w:p>
        </w:tc>
        <w:tc>
          <w:tcPr>
            <w:tcW w:w="74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100</w:t>
            </w:r>
          </w:p>
        </w:tc>
        <w:tc>
          <w:tcPr>
            <w:tcW w:w="829"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98</w:t>
            </w:r>
          </w:p>
        </w:tc>
        <w:tc>
          <w:tcPr>
            <w:tcW w:w="1324" w:type="dxa"/>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r>
    </w:tbl>
    <w:p>
      <w:pPr>
        <w:spacing w:before="176" w:beforeLines="0" w:afterLines="0" w:line="225" w:lineRule="auto"/>
        <w:rPr>
          <w:rFonts w:hint="default"/>
          <w:sz w:val="21"/>
          <w:szCs w:val="21"/>
        </w:rPr>
        <w:sectPr>
          <w:headerReference r:id="rId8" w:type="default"/>
          <w:footerReference r:id="rId9" w:type="default"/>
          <w:pgSz w:w="11905" w:h="16840"/>
          <w:pgMar w:top="1310" w:right="1435" w:bottom="1304" w:left="1436" w:header="0" w:footer="981" w:gutter="0"/>
          <w:lnNumType w:countBy="0" w:distance="360"/>
          <w:pgNumType w:fmt="numberInDash" w:start="1"/>
          <w:cols w:space="720" w:num="1"/>
          <w:docGrid w:type="linesAndChars" w:linePitch="312" w:charSpace="0"/>
        </w:sectPr>
      </w:pPr>
      <w:r>
        <w:rPr>
          <w:rFonts w:hint="eastAsia" w:ascii="微软雅黑" w:hAnsi="微软雅黑" w:eastAsia="微软雅黑" w:cs="微软雅黑"/>
          <w:spacing w:val="-7"/>
          <w:sz w:val="21"/>
          <w:szCs w:val="21"/>
        </w:rPr>
        <w:t>填表人：宋炀   填报日期：2025.03.28   联系电话：13507419009  单位负责人签字</w:t>
      </w:r>
      <w:r>
        <w:rPr>
          <w:rFonts w:hint="eastAsia" w:ascii="微软雅黑" w:hAnsi="微软雅黑" w:eastAsia="微软雅黑" w:cs="微软雅黑"/>
          <w:spacing w:val="-4"/>
          <w:sz w:val="21"/>
          <w:szCs w:val="21"/>
        </w:rPr>
        <w:t>：</w:t>
      </w:r>
      <w:r>
        <w:rPr>
          <w:rFonts w:hint="eastAsia" w:ascii="微软雅黑" w:hAnsi="微软雅黑" w:eastAsia="微软雅黑" w:cs="微软雅黑"/>
          <w:spacing w:val="-4"/>
          <w:sz w:val="21"/>
          <w:szCs w:val="21"/>
          <w:lang w:eastAsia="zh-CN"/>
        </w:rPr>
        <w:t>颜珠容</w:t>
      </w:r>
    </w:p>
    <w:p>
      <w:pPr>
        <w:spacing w:beforeLines="0" w:afterLines="0" w:line="268" w:lineRule="auto"/>
        <w:rPr>
          <w:rFonts w:hint="default"/>
          <w:sz w:val="21"/>
          <w:szCs w:val="21"/>
        </w:rPr>
      </w:pPr>
    </w:p>
    <w:p>
      <w:pPr>
        <w:spacing w:before="104" w:beforeLines="0" w:afterLines="0" w:line="424" w:lineRule="exact"/>
        <w:ind w:left="69"/>
        <w:rPr>
          <w:rFonts w:hint="eastAsia" w:ascii="Times New Roman" w:hAnsi="Times New Roman" w:eastAsia="Times New Roman" w:cs="Times New Roman"/>
          <w:sz w:val="32"/>
          <w:szCs w:val="32"/>
        </w:rPr>
      </w:pPr>
      <w:r>
        <w:rPr>
          <w:rFonts w:hint="eastAsia" w:ascii="黑体" w:hAnsi="黑体" w:eastAsia="黑体" w:cs="黑体"/>
          <w:spacing w:val="-29"/>
          <w:position w:val="1"/>
          <w:sz w:val="32"/>
          <w:szCs w:val="32"/>
        </w:rPr>
        <w:t>附</w:t>
      </w:r>
      <w:r>
        <w:rPr>
          <w:rFonts w:hint="eastAsia" w:ascii="黑体" w:hAnsi="黑体" w:eastAsia="黑体" w:cs="黑体"/>
          <w:spacing w:val="-26"/>
          <w:position w:val="1"/>
          <w:sz w:val="32"/>
          <w:szCs w:val="32"/>
        </w:rPr>
        <w:t>件</w:t>
      </w:r>
      <w:r>
        <w:rPr>
          <w:rFonts w:hint="eastAsia" w:ascii="Times New Roman" w:hAnsi="Times New Roman" w:eastAsia="Times New Roman" w:cs="Times New Roman"/>
          <w:spacing w:val="-26"/>
          <w:position w:val="1"/>
          <w:sz w:val="32"/>
          <w:szCs w:val="32"/>
        </w:rPr>
        <w:t>4</w:t>
      </w:r>
    </w:p>
    <w:p>
      <w:pPr>
        <w:spacing w:before="305" w:beforeLines="0" w:afterLines="0" w:line="207" w:lineRule="auto"/>
        <w:ind w:left="271"/>
        <w:rPr>
          <w:rFonts w:hint="eastAsia" w:ascii="微软雅黑" w:hAnsi="微软雅黑" w:eastAsia="微软雅黑" w:cs="微软雅黑"/>
          <w:sz w:val="44"/>
          <w:szCs w:val="44"/>
        </w:rPr>
      </w:pPr>
      <w:r>
        <w:rPr>
          <w:rFonts w:hint="eastAsia" w:ascii="微软雅黑" w:hAnsi="微软雅黑" w:eastAsia="微软雅黑" w:cs="微软雅黑"/>
          <w:spacing w:val="-37"/>
          <w:sz w:val="44"/>
          <w:szCs w:val="44"/>
        </w:rPr>
        <w:t>2</w:t>
      </w:r>
      <w:r>
        <w:rPr>
          <w:rFonts w:hint="eastAsia" w:ascii="微软雅黑" w:hAnsi="微软雅黑" w:eastAsia="微软雅黑" w:cs="微软雅黑"/>
          <w:spacing w:val="-25"/>
          <w:sz w:val="44"/>
          <w:szCs w:val="44"/>
        </w:rPr>
        <w:t>024年度项目支出绩效自评表(业务工作经费)</w:t>
      </w:r>
    </w:p>
    <w:tbl>
      <w:tblPr>
        <w:tblStyle w:val="13"/>
        <w:tblW w:w="975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5"/>
        <w:gridCol w:w="1032"/>
        <w:gridCol w:w="921"/>
        <w:gridCol w:w="256"/>
        <w:gridCol w:w="1221"/>
        <w:gridCol w:w="589"/>
        <w:gridCol w:w="992"/>
        <w:gridCol w:w="685"/>
        <w:gridCol w:w="482"/>
        <w:gridCol w:w="344"/>
        <w:gridCol w:w="389"/>
        <w:gridCol w:w="482"/>
        <w:gridCol w:w="236"/>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4" w:hRule="atLeast"/>
          <w:jc w:val="center"/>
        </w:trPr>
        <w:tc>
          <w:tcPr>
            <w:tcW w:w="1025"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项目支</w:t>
            </w:r>
          </w:p>
          <w:p>
            <w:pPr>
              <w:spacing w:beforeLines="0" w:afterLines="0" w:line="2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出名称</w:t>
            </w:r>
          </w:p>
        </w:tc>
        <w:tc>
          <w:tcPr>
            <w:tcW w:w="8734" w:type="dxa"/>
            <w:gridSpan w:val="13"/>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网络商品交易监测业务经费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1025" w:type="dxa"/>
            <w:tcBorders>
              <w:top w:val="nil"/>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主管部门</w:t>
            </w:r>
          </w:p>
        </w:tc>
        <w:tc>
          <w:tcPr>
            <w:tcW w:w="5011" w:type="dxa"/>
            <w:gridSpan w:val="6"/>
            <w:tcBorders>
              <w:top w:val="single" w:color="auto" w:sz="4" w:space="0"/>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湖南省市场监督管理局</w:t>
            </w:r>
          </w:p>
        </w:tc>
        <w:tc>
          <w:tcPr>
            <w:tcW w:w="685" w:type="dxa"/>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实施单位</w:t>
            </w:r>
          </w:p>
        </w:tc>
        <w:tc>
          <w:tcPr>
            <w:tcW w:w="3038" w:type="dxa"/>
            <w:gridSpan w:val="6"/>
            <w:tcBorders>
              <w:top w:val="single" w:color="auto" w:sz="4" w:space="0"/>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湖南省网络商品交易监测中心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0" w:hRule="atLeast"/>
          <w:jc w:val="center"/>
        </w:trPr>
        <w:tc>
          <w:tcPr>
            <w:tcW w:w="1025" w:type="dxa"/>
            <w:vMerge w:val="restart"/>
            <w:tcBorders>
              <w:top w:val="nil"/>
              <w:left w:val="single" w:color="auto" w:sz="4" w:space="0"/>
              <w:bottom w:val="single" w:color="000000"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项目资金</w:t>
            </w:r>
            <w:r>
              <w:rPr>
                <w:rFonts w:hint="eastAsia" w:ascii="Times New Roman" w:hAnsi="Times New Roman" w:eastAsia="Times New Roman" w:cs="Times New Roman"/>
                <w:sz w:val="20"/>
                <w:szCs w:val="20"/>
              </w:rPr>
              <w:br w:type="textWrapping"/>
            </w:r>
            <w:r>
              <w:rPr>
                <w:rFonts w:hint="eastAsia" w:ascii="Times New Roman" w:hAnsi="Times New Roman" w:eastAsia="仿宋_GB2312" w:cs="Times New Roman"/>
                <w:sz w:val="20"/>
                <w:szCs w:val="20"/>
              </w:rPr>
              <w:t>（万元）</w:t>
            </w:r>
          </w:p>
        </w:tc>
        <w:tc>
          <w:tcPr>
            <w:tcW w:w="2209"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1221"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年初</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预算数</w:t>
            </w:r>
          </w:p>
        </w:tc>
        <w:tc>
          <w:tcPr>
            <w:tcW w:w="158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预算数</w:t>
            </w:r>
          </w:p>
        </w:tc>
        <w:tc>
          <w:tcPr>
            <w:tcW w:w="68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执行数</w:t>
            </w:r>
          </w:p>
        </w:tc>
        <w:tc>
          <w:tcPr>
            <w:tcW w:w="826"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87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执行率</w:t>
            </w:r>
          </w:p>
        </w:tc>
        <w:tc>
          <w:tcPr>
            <w:tcW w:w="134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2" w:hRule="atLeast"/>
          <w:jc w:val="center"/>
        </w:trPr>
        <w:tc>
          <w:tcPr>
            <w:tcW w:w="102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209"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年度资金总额　</w:t>
            </w:r>
          </w:p>
        </w:tc>
        <w:tc>
          <w:tcPr>
            <w:tcW w:w="1221"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32.50</w:t>
            </w:r>
          </w:p>
        </w:tc>
        <w:tc>
          <w:tcPr>
            <w:tcW w:w="158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32.50</w:t>
            </w:r>
          </w:p>
        </w:tc>
        <w:tc>
          <w:tcPr>
            <w:tcW w:w="68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19.62</w:t>
            </w:r>
          </w:p>
        </w:tc>
        <w:tc>
          <w:tcPr>
            <w:tcW w:w="826"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w:t>
            </w:r>
          </w:p>
        </w:tc>
        <w:tc>
          <w:tcPr>
            <w:tcW w:w="87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60.37%</w:t>
            </w:r>
          </w:p>
        </w:tc>
        <w:tc>
          <w:tcPr>
            <w:tcW w:w="134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2" w:hRule="atLeast"/>
          <w:jc w:val="center"/>
        </w:trPr>
        <w:tc>
          <w:tcPr>
            <w:tcW w:w="102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209"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其中：当年财政拨款　</w:t>
            </w:r>
          </w:p>
        </w:tc>
        <w:tc>
          <w:tcPr>
            <w:tcW w:w="1221"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32.50</w:t>
            </w:r>
          </w:p>
        </w:tc>
        <w:tc>
          <w:tcPr>
            <w:tcW w:w="158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32.50</w:t>
            </w:r>
          </w:p>
        </w:tc>
        <w:tc>
          <w:tcPr>
            <w:tcW w:w="68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19.62</w:t>
            </w:r>
          </w:p>
        </w:tc>
        <w:tc>
          <w:tcPr>
            <w:tcW w:w="826"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10</w:t>
            </w:r>
          </w:p>
        </w:tc>
        <w:tc>
          <w:tcPr>
            <w:tcW w:w="87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60.37%</w:t>
            </w:r>
          </w:p>
        </w:tc>
        <w:tc>
          <w:tcPr>
            <w:tcW w:w="134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jc w:val="center"/>
        </w:trPr>
        <w:tc>
          <w:tcPr>
            <w:tcW w:w="102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209" w:type="dxa"/>
            <w:gridSpan w:val="3"/>
            <w:tcBorders>
              <w:top w:val="nil"/>
              <w:left w:val="nil"/>
              <w:bottom w:val="single" w:color="auto" w:sz="4" w:space="0"/>
              <w:right w:val="single" w:color="auto" w:sz="4" w:space="0"/>
              <w:tl2br w:val="nil"/>
              <w:tr2bl w:val="nil"/>
            </w:tcBorders>
            <w:vAlign w:val="center"/>
          </w:tcPr>
          <w:p>
            <w:pPr>
              <w:spacing w:beforeLines="0" w:afterLines="0"/>
              <w:ind w:firstLine="600" w:firstLineChars="3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上年结转资金　</w:t>
            </w:r>
          </w:p>
        </w:tc>
        <w:tc>
          <w:tcPr>
            <w:tcW w:w="1221"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58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68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26"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7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134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7" w:hRule="atLeast"/>
          <w:jc w:val="center"/>
        </w:trPr>
        <w:tc>
          <w:tcPr>
            <w:tcW w:w="102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209" w:type="dxa"/>
            <w:gridSpan w:val="3"/>
            <w:tcBorders>
              <w:top w:val="nil"/>
              <w:left w:val="nil"/>
              <w:bottom w:val="single" w:color="auto" w:sz="4" w:space="0"/>
              <w:right w:val="single" w:color="auto" w:sz="4" w:space="0"/>
              <w:tl2br w:val="nil"/>
              <w:tr2bl w:val="nil"/>
            </w:tcBorders>
            <w:vAlign w:val="center"/>
          </w:tcPr>
          <w:p>
            <w:pPr>
              <w:spacing w:beforeLines="0" w:afterLines="0"/>
              <w:ind w:firstLine="600" w:firstLineChars="3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其他资金</w:t>
            </w:r>
          </w:p>
        </w:tc>
        <w:tc>
          <w:tcPr>
            <w:tcW w:w="1221"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58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68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26"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7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1341"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jc w:val="center"/>
        </w:trPr>
        <w:tc>
          <w:tcPr>
            <w:tcW w:w="1025" w:type="dxa"/>
            <w:vMerge w:val="restart"/>
            <w:tcBorders>
              <w:top w:val="nil"/>
              <w:left w:val="single" w:color="auto" w:sz="4" w:space="0"/>
              <w:bottom w:val="single" w:color="000000"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年度总体目标</w:t>
            </w:r>
          </w:p>
        </w:tc>
        <w:tc>
          <w:tcPr>
            <w:tcW w:w="5011" w:type="dxa"/>
            <w:gridSpan w:val="6"/>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预期目标</w:t>
            </w:r>
          </w:p>
        </w:tc>
        <w:tc>
          <w:tcPr>
            <w:tcW w:w="3723" w:type="dxa"/>
            <w:gridSpan w:val="7"/>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实际完成情况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4" w:hRule="atLeast"/>
          <w:jc w:val="center"/>
        </w:trPr>
        <w:tc>
          <w:tcPr>
            <w:tcW w:w="1025"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5011" w:type="dxa"/>
            <w:gridSpan w:val="6"/>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32.50</w:t>
            </w:r>
          </w:p>
        </w:tc>
        <w:tc>
          <w:tcPr>
            <w:tcW w:w="3723" w:type="dxa"/>
            <w:gridSpan w:val="7"/>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1025" w:type="dxa"/>
            <w:vMerge w:val="restart"/>
            <w:tcBorders>
              <w:top w:val="nil"/>
              <w:left w:val="single" w:color="auto" w:sz="4" w:space="0"/>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绩</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效</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标</w:t>
            </w:r>
          </w:p>
        </w:tc>
        <w:tc>
          <w:tcPr>
            <w:tcW w:w="1032"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一级指标</w:t>
            </w:r>
          </w:p>
        </w:tc>
        <w:tc>
          <w:tcPr>
            <w:tcW w:w="92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二级指标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三级指标</w:t>
            </w:r>
          </w:p>
        </w:tc>
        <w:tc>
          <w:tcPr>
            <w:tcW w:w="992"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指标值</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完成值</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得分</w:t>
            </w:r>
          </w:p>
        </w:tc>
        <w:tc>
          <w:tcPr>
            <w:tcW w:w="1105" w:type="dxa"/>
            <w:tcBorders>
              <w:top w:val="nil"/>
              <w:left w:val="nil"/>
              <w:bottom w:val="single" w:color="auto" w:sz="4" w:space="0"/>
              <w:right w:val="single" w:color="auto" w:sz="4" w:space="0"/>
              <w:tl2br w:val="nil"/>
              <w:tr2bl w:val="nil"/>
            </w:tcBorders>
            <w:vAlign w:val="center"/>
          </w:tcPr>
          <w:p>
            <w:pPr>
              <w:spacing w:beforeLines="0" w:afterLines="0" w:line="240" w:lineRule="exact"/>
              <w:jc w:val="both"/>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5"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产出指标</w:t>
            </w:r>
          </w:p>
          <w:p>
            <w:pPr>
              <w:spacing w:beforeLines="0" w:afterLines="0"/>
              <w:jc w:val="center"/>
              <w:rPr>
                <w:rFonts w:hint="eastAsia" w:ascii="Times New Roman" w:hAnsi="Times New Roman" w:eastAsia="Times New Roman" w:cs="Times New Roman"/>
                <w:sz w:val="20"/>
                <w:szCs w:val="20"/>
              </w:rPr>
            </w:pP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(50</w:t>
            </w:r>
            <w:r>
              <w:rPr>
                <w:rFonts w:hint="eastAsia" w:ascii="Times New Roman" w:hAnsi="Times New Roman" w:eastAsia="仿宋_GB2312" w:cs="Times New Roman"/>
                <w:sz w:val="20"/>
                <w:szCs w:val="20"/>
              </w:rPr>
              <w:t>分)</w:t>
            </w:r>
          </w:p>
        </w:tc>
        <w:tc>
          <w:tcPr>
            <w:tcW w:w="92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数量指标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网络监管系统数据服务工作项目</w:t>
            </w:r>
          </w:p>
        </w:tc>
        <w:tc>
          <w:tcPr>
            <w:tcW w:w="992"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仿宋" w:hAnsi="仿宋" w:eastAsia="仿宋" w:cs="仿宋"/>
                <w:color w:val="auto"/>
                <w:sz w:val="18"/>
                <w:szCs w:val="18"/>
              </w:rPr>
              <w:t>≥12次</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ind w:firstLine="360" w:firstLineChars="200"/>
              <w:jc w:val="both"/>
              <w:rPr>
                <w:rFonts w:hint="eastAsia" w:ascii="Times New Roman" w:hAnsi="Times New Roman" w:eastAsia="Times New Roman" w:cs="Times New Roman"/>
                <w:color w:val="auto"/>
                <w:sz w:val="20"/>
                <w:szCs w:val="20"/>
              </w:rPr>
            </w:pPr>
            <w:r>
              <w:rPr>
                <w:rFonts w:hint="eastAsia" w:ascii="仿宋" w:hAnsi="仿宋" w:eastAsia="仿宋" w:cs="仿宋"/>
                <w:color w:val="auto"/>
                <w:sz w:val="18"/>
                <w:szCs w:val="18"/>
              </w:rPr>
              <w:t>12次</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110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7"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921"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质量指标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网络监管系统数据服务工作项目</w:t>
            </w:r>
          </w:p>
        </w:tc>
        <w:tc>
          <w:tcPr>
            <w:tcW w:w="992"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仿宋" w:hAnsi="仿宋" w:eastAsia="仿宋" w:cs="仿宋"/>
                <w:color w:val="auto"/>
                <w:sz w:val="18"/>
                <w:szCs w:val="18"/>
              </w:rPr>
              <w:t>完成率≥90%</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100%</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15</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15</w:t>
            </w:r>
          </w:p>
        </w:tc>
        <w:tc>
          <w:tcPr>
            <w:tcW w:w="110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1"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921" w:type="dxa"/>
            <w:tcBorders>
              <w:top w:val="single" w:color="auto" w:sz="4" w:space="0"/>
              <w:left w:val="single" w:color="auto" w:sz="4" w:space="0"/>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时效指标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项目服务期限</w:t>
            </w:r>
          </w:p>
        </w:tc>
        <w:tc>
          <w:tcPr>
            <w:tcW w:w="992"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1年</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1年</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10</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10</w:t>
            </w:r>
          </w:p>
        </w:tc>
        <w:tc>
          <w:tcPr>
            <w:tcW w:w="1105"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71"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921" w:type="dxa"/>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成本指标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网络监管系统数据服务工作项目成本</w:t>
            </w:r>
          </w:p>
        </w:tc>
        <w:tc>
          <w:tcPr>
            <w:tcW w:w="992"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≤32.50万元</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19.62万元</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110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5"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效益指标</w:t>
            </w:r>
          </w:p>
          <w:p>
            <w:pPr>
              <w:spacing w:beforeLines="0" w:afterLines="0"/>
              <w:rPr>
                <w:rFonts w:hint="eastAsia" w:ascii="Times New Roman" w:hAnsi="Times New Roman" w:eastAsia="Times New Roman" w:cs="Times New Roman"/>
                <w:sz w:val="20"/>
                <w:szCs w:val="20"/>
              </w:rPr>
            </w:pPr>
          </w:p>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（30分）</w:t>
            </w:r>
          </w:p>
          <w:p>
            <w:pPr>
              <w:spacing w:beforeLines="0" w:afterLines="0"/>
              <w:rPr>
                <w:rFonts w:hint="eastAsia" w:ascii="Times New Roman" w:hAnsi="Times New Roman" w:eastAsia="Times New Roman" w:cs="Times New Roman"/>
                <w:sz w:val="20"/>
                <w:szCs w:val="20"/>
              </w:rPr>
            </w:pPr>
          </w:p>
        </w:tc>
        <w:tc>
          <w:tcPr>
            <w:tcW w:w="921"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社会效</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益指标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营造良好的网络环境</w:t>
            </w:r>
          </w:p>
        </w:tc>
        <w:tc>
          <w:tcPr>
            <w:tcW w:w="992"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逐步完善</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逐步完善</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110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80"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p>
        </w:tc>
        <w:tc>
          <w:tcPr>
            <w:tcW w:w="1032"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921"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可持续影响指标</w:t>
            </w:r>
          </w:p>
        </w:tc>
        <w:tc>
          <w:tcPr>
            <w:tcW w:w="2066"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网络市场交易环境维护</w:t>
            </w:r>
          </w:p>
        </w:tc>
        <w:tc>
          <w:tcPr>
            <w:tcW w:w="992"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持续支撑</w:t>
            </w:r>
          </w:p>
        </w:tc>
        <w:tc>
          <w:tcPr>
            <w:tcW w:w="116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持续支撑</w:t>
            </w:r>
          </w:p>
        </w:tc>
        <w:tc>
          <w:tcPr>
            <w:tcW w:w="733"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718"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w:t>
            </w:r>
          </w:p>
        </w:tc>
        <w:tc>
          <w:tcPr>
            <w:tcW w:w="1105"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53" w:hRule="atLeast"/>
          <w:jc w:val="center"/>
        </w:trPr>
        <w:tc>
          <w:tcPr>
            <w:tcW w:w="1025"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32"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满意度</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指标</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（10分）</w:t>
            </w:r>
          </w:p>
        </w:tc>
        <w:tc>
          <w:tcPr>
            <w:tcW w:w="921"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服务对象满意度指标</w:t>
            </w:r>
          </w:p>
        </w:tc>
        <w:tc>
          <w:tcPr>
            <w:tcW w:w="2066" w:type="dxa"/>
            <w:gridSpan w:val="3"/>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业务处室满意度</w:t>
            </w:r>
          </w:p>
        </w:tc>
        <w:tc>
          <w:tcPr>
            <w:tcW w:w="992"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≥80%</w:t>
            </w:r>
          </w:p>
        </w:tc>
        <w:tc>
          <w:tcPr>
            <w:tcW w:w="1167"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仿宋" w:hAnsi="仿宋" w:eastAsia="仿宋" w:cs="仿宋"/>
                <w:color w:val="auto"/>
                <w:sz w:val="18"/>
                <w:szCs w:val="18"/>
              </w:rPr>
              <w:t>90%</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1105"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FF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7" w:hRule="atLeast"/>
          <w:jc w:val="center"/>
        </w:trPr>
        <w:tc>
          <w:tcPr>
            <w:tcW w:w="7203" w:type="dxa"/>
            <w:gridSpan w:val="9"/>
            <w:tcBorders>
              <w:top w:val="single" w:color="auto" w:sz="4" w:space="0"/>
              <w:left w:val="single" w:color="auto" w:sz="4" w:space="0"/>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总分</w:t>
            </w:r>
          </w:p>
        </w:tc>
        <w:tc>
          <w:tcPr>
            <w:tcW w:w="733" w:type="dxa"/>
            <w:gridSpan w:val="2"/>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100</w:t>
            </w:r>
          </w:p>
        </w:tc>
        <w:tc>
          <w:tcPr>
            <w:tcW w:w="718" w:type="dxa"/>
            <w:gridSpan w:val="2"/>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98</w:t>
            </w:r>
          </w:p>
        </w:tc>
        <w:tc>
          <w:tcPr>
            <w:tcW w:w="1105" w:type="dxa"/>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r>
    </w:tbl>
    <w:p>
      <w:pPr>
        <w:spacing w:before="167" w:beforeLines="0" w:afterLines="0" w:line="225" w:lineRule="auto"/>
        <w:rPr>
          <w:rFonts w:hint="default"/>
          <w:sz w:val="21"/>
          <w:szCs w:val="21"/>
        </w:rPr>
        <w:sectPr>
          <w:footerReference r:id="rId10" w:type="default"/>
          <w:pgSz w:w="11905" w:h="16840"/>
          <w:pgMar w:top="400" w:right="1435" w:bottom="1250" w:left="1436" w:header="0" w:footer="982" w:gutter="0"/>
          <w:lnNumType w:countBy="0" w:distance="360"/>
          <w:pgNumType w:fmt="numberInDash"/>
          <w:cols w:space="720" w:num="1"/>
          <w:docGrid w:type="linesAndChars" w:linePitch="312" w:charSpace="0"/>
        </w:sectPr>
      </w:pPr>
      <w:r>
        <w:rPr>
          <w:rFonts w:hint="eastAsia" w:ascii="微软雅黑" w:hAnsi="微软雅黑" w:eastAsia="微软雅黑" w:cs="微软雅黑"/>
          <w:spacing w:val="-7"/>
          <w:sz w:val="21"/>
          <w:szCs w:val="21"/>
        </w:rPr>
        <w:t>填表人：宋炀  填报日期：2025.03.28    联系电话：13507419009  单位负责人签字</w:t>
      </w:r>
      <w:r>
        <w:rPr>
          <w:rFonts w:hint="eastAsia" w:ascii="微软雅黑" w:hAnsi="微软雅黑" w:eastAsia="微软雅黑" w:cs="微软雅黑"/>
          <w:spacing w:val="-4"/>
          <w:sz w:val="21"/>
          <w:szCs w:val="21"/>
        </w:rPr>
        <w:t>：</w:t>
      </w:r>
      <w:r>
        <w:rPr>
          <w:rFonts w:hint="eastAsia" w:ascii="微软雅黑" w:hAnsi="微软雅黑" w:eastAsia="微软雅黑" w:cs="微软雅黑"/>
          <w:spacing w:val="-4"/>
          <w:sz w:val="21"/>
          <w:szCs w:val="21"/>
          <w:lang w:eastAsia="zh-CN"/>
        </w:rPr>
        <w:t>颜珠容</w:t>
      </w:r>
    </w:p>
    <w:p>
      <w:pPr>
        <w:spacing w:beforeLines="0" w:afterLines="0" w:line="262" w:lineRule="auto"/>
        <w:rPr>
          <w:rFonts w:hint="default"/>
          <w:sz w:val="21"/>
          <w:szCs w:val="21"/>
        </w:rPr>
      </w:pPr>
    </w:p>
    <w:p>
      <w:pPr>
        <w:spacing w:before="104" w:beforeLines="0" w:afterLines="0" w:line="425" w:lineRule="exact"/>
        <w:ind w:left="69"/>
        <w:rPr>
          <w:rFonts w:hint="eastAsia" w:ascii="Times New Roman" w:hAnsi="Times New Roman" w:eastAsia="Times New Roman" w:cs="Times New Roman"/>
          <w:sz w:val="32"/>
          <w:szCs w:val="32"/>
        </w:rPr>
      </w:pPr>
      <w:r>
        <w:rPr>
          <w:rFonts w:hint="eastAsia" w:ascii="黑体" w:hAnsi="黑体" w:eastAsia="黑体" w:cs="黑体"/>
          <w:spacing w:val="-25"/>
          <w:position w:val="1"/>
          <w:sz w:val="32"/>
          <w:szCs w:val="32"/>
        </w:rPr>
        <w:t>附</w:t>
      </w:r>
      <w:r>
        <w:rPr>
          <w:rFonts w:hint="eastAsia" w:ascii="黑体" w:hAnsi="黑体" w:eastAsia="黑体" w:cs="黑体"/>
          <w:spacing w:val="-24"/>
          <w:position w:val="1"/>
          <w:sz w:val="32"/>
          <w:szCs w:val="32"/>
        </w:rPr>
        <w:t>件</w:t>
      </w:r>
      <w:r>
        <w:rPr>
          <w:rFonts w:hint="eastAsia" w:ascii="Times New Roman" w:hAnsi="Times New Roman" w:eastAsia="Times New Roman" w:cs="Times New Roman"/>
          <w:spacing w:val="-24"/>
          <w:position w:val="1"/>
          <w:sz w:val="32"/>
          <w:szCs w:val="32"/>
        </w:rPr>
        <w:t>5</w:t>
      </w:r>
    </w:p>
    <w:p>
      <w:pPr>
        <w:spacing w:before="197" w:beforeLines="0" w:afterLines="0" w:line="207" w:lineRule="auto"/>
        <w:ind w:left="271"/>
        <w:rPr>
          <w:rFonts w:hint="eastAsia" w:ascii="微软雅黑" w:hAnsi="微软雅黑" w:eastAsia="微软雅黑" w:cs="微软雅黑"/>
          <w:spacing w:val="-25"/>
          <w:sz w:val="44"/>
          <w:szCs w:val="44"/>
        </w:rPr>
      </w:pPr>
      <w:r>
        <w:rPr>
          <w:rFonts w:hint="eastAsia" w:ascii="微软雅黑" w:hAnsi="微软雅黑" w:eastAsia="微软雅黑" w:cs="微软雅黑"/>
          <w:spacing w:val="-37"/>
          <w:sz w:val="44"/>
          <w:szCs w:val="44"/>
        </w:rPr>
        <w:t>2</w:t>
      </w:r>
      <w:r>
        <w:rPr>
          <w:rFonts w:hint="eastAsia" w:ascii="微软雅黑" w:hAnsi="微软雅黑" w:eastAsia="微软雅黑" w:cs="微软雅黑"/>
          <w:spacing w:val="-25"/>
          <w:sz w:val="44"/>
          <w:szCs w:val="44"/>
        </w:rPr>
        <w:t>024年度项目支出绩效自评表(运行维护专项)</w:t>
      </w:r>
    </w:p>
    <w:tbl>
      <w:tblPr>
        <w:tblStyle w:val="13"/>
        <w:tblW w:w="985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1080"/>
        <w:gridCol w:w="1080"/>
        <w:gridCol w:w="1224"/>
        <w:gridCol w:w="1134"/>
        <w:gridCol w:w="1134"/>
        <w:gridCol w:w="828"/>
        <w:gridCol w:w="873"/>
        <w:gridCol w:w="14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项目支</w:t>
            </w:r>
          </w:p>
          <w:p>
            <w:pPr>
              <w:spacing w:beforeLines="0" w:afterLines="0" w:line="26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出名称</w:t>
            </w:r>
          </w:p>
        </w:tc>
        <w:tc>
          <w:tcPr>
            <w:tcW w:w="8771" w:type="dxa"/>
            <w:gridSpan w:val="8"/>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b/>
                <w:sz w:val="20"/>
                <w:szCs w:val="20"/>
              </w:rPr>
              <w:t>运行维护经费　（办公设备购置、公务用车购置）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主管部门</w:t>
            </w:r>
          </w:p>
        </w:tc>
        <w:tc>
          <w:tcPr>
            <w:tcW w:w="4518" w:type="dxa"/>
            <w:gridSpan w:val="4"/>
            <w:tcBorders>
              <w:top w:val="single" w:color="auto" w:sz="4" w:space="0"/>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湖南省市场监督管理局</w:t>
            </w:r>
          </w:p>
        </w:tc>
        <w:tc>
          <w:tcPr>
            <w:tcW w:w="1134" w:type="dxa"/>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实施单位</w:t>
            </w:r>
          </w:p>
        </w:tc>
        <w:tc>
          <w:tcPr>
            <w:tcW w:w="3119"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湖南省网络商品交易监测中心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项目资金</w:t>
            </w:r>
            <w:r>
              <w:rPr>
                <w:rFonts w:hint="eastAsia" w:ascii="Times New Roman" w:hAnsi="Times New Roman" w:eastAsia="Times New Roman" w:cs="Times New Roman"/>
                <w:sz w:val="20"/>
                <w:szCs w:val="20"/>
              </w:rPr>
              <w:br w:type="textWrapping"/>
            </w:r>
            <w:r>
              <w:rPr>
                <w:rFonts w:hint="eastAsia" w:ascii="Times New Roman" w:hAnsi="Times New Roman" w:eastAsia="仿宋_GB2312" w:cs="Times New Roman"/>
                <w:sz w:val="20"/>
                <w:szCs w:val="20"/>
              </w:rPr>
              <w:t>（万元）</w:t>
            </w:r>
          </w:p>
        </w:tc>
        <w:tc>
          <w:tcPr>
            <w:tcW w:w="2160" w:type="dxa"/>
            <w:gridSpan w:val="2"/>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年初</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预算数</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预算数</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全年</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执行数</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执行率</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160" w:type="dxa"/>
            <w:gridSpan w:val="2"/>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年度资金总额　</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32</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22.98</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71.81%</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160" w:type="dxa"/>
            <w:gridSpan w:val="2"/>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其中：当年财政拨款　</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22.98</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71.81%</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160" w:type="dxa"/>
            <w:gridSpan w:val="2"/>
            <w:tcBorders>
              <w:top w:val="nil"/>
              <w:left w:val="nil"/>
              <w:bottom w:val="single" w:color="auto" w:sz="4" w:space="0"/>
              <w:right w:val="single" w:color="auto" w:sz="4" w:space="0"/>
              <w:tl2br w:val="nil"/>
              <w:tr2bl w:val="nil"/>
            </w:tcBorders>
            <w:vAlign w:val="center"/>
          </w:tcPr>
          <w:p>
            <w:pPr>
              <w:spacing w:beforeLines="0" w:afterLines="0"/>
              <w:ind w:firstLine="600" w:firstLineChars="3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上年结转资金　</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2160" w:type="dxa"/>
            <w:gridSpan w:val="2"/>
            <w:tcBorders>
              <w:top w:val="nil"/>
              <w:left w:val="nil"/>
              <w:bottom w:val="single" w:color="auto" w:sz="4" w:space="0"/>
              <w:right w:val="single" w:color="auto" w:sz="4" w:space="0"/>
              <w:tl2br w:val="nil"/>
              <w:tr2bl w:val="nil"/>
            </w:tcBorders>
            <w:vAlign w:val="center"/>
          </w:tcPr>
          <w:p>
            <w:pPr>
              <w:spacing w:beforeLines="0" w:afterLines="0"/>
              <w:ind w:firstLine="600" w:firstLineChars="30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其他资金</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0</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年度总体目标</w:t>
            </w:r>
          </w:p>
        </w:tc>
        <w:tc>
          <w:tcPr>
            <w:tcW w:w="4518" w:type="dxa"/>
            <w:gridSpan w:val="4"/>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预期目标</w:t>
            </w:r>
          </w:p>
        </w:tc>
        <w:tc>
          <w:tcPr>
            <w:tcW w:w="4253" w:type="dxa"/>
            <w:gridSpan w:val="4"/>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实际完成情况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4518" w:type="dxa"/>
            <w:gridSpan w:val="4"/>
            <w:tcBorders>
              <w:top w:val="single" w:color="auto" w:sz="4" w:space="0"/>
              <w:left w:val="nil"/>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32　</w:t>
            </w:r>
          </w:p>
        </w:tc>
        <w:tc>
          <w:tcPr>
            <w:tcW w:w="4253" w:type="dxa"/>
            <w:gridSpan w:val="4"/>
            <w:tcBorders>
              <w:top w:val="single" w:color="auto" w:sz="4" w:space="0"/>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22.98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restart"/>
            <w:tcBorders>
              <w:top w:val="nil"/>
              <w:left w:val="single" w:color="auto" w:sz="4" w:space="0"/>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绩</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效</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标</w:t>
            </w:r>
          </w:p>
        </w:tc>
        <w:tc>
          <w:tcPr>
            <w:tcW w:w="108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一级指标</w:t>
            </w:r>
          </w:p>
        </w:tc>
        <w:tc>
          <w:tcPr>
            <w:tcW w:w="108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二级指标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三级指标</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年度</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指标值</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实际</w:t>
            </w:r>
          </w:p>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完成值</w:t>
            </w:r>
          </w:p>
        </w:tc>
        <w:tc>
          <w:tcPr>
            <w:tcW w:w="828"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分值</w:t>
            </w:r>
          </w:p>
        </w:tc>
        <w:tc>
          <w:tcPr>
            <w:tcW w:w="873"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得分</w:t>
            </w:r>
          </w:p>
        </w:tc>
        <w:tc>
          <w:tcPr>
            <w:tcW w:w="1418" w:type="dxa"/>
            <w:tcBorders>
              <w:top w:val="nil"/>
              <w:left w:val="nil"/>
              <w:bottom w:val="single" w:color="auto" w:sz="4" w:space="0"/>
              <w:right w:val="single" w:color="auto" w:sz="4" w:space="0"/>
              <w:tl2br w:val="nil"/>
              <w:tr2bl w:val="nil"/>
            </w:tcBorders>
            <w:vAlign w:val="center"/>
          </w:tcPr>
          <w:p>
            <w:pPr>
              <w:spacing w:beforeLines="0" w:afterLines="0" w:line="240" w:lineRule="exact"/>
              <w:jc w:val="both"/>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产出指标</w:t>
            </w:r>
          </w:p>
          <w:p>
            <w:pPr>
              <w:spacing w:beforeLines="0" w:afterLines="0"/>
              <w:jc w:val="center"/>
              <w:rPr>
                <w:rFonts w:hint="eastAsia" w:ascii="Times New Roman" w:hAnsi="Times New Roman" w:eastAsia="Times New Roman" w:cs="Times New Roman"/>
                <w:sz w:val="20"/>
                <w:szCs w:val="20"/>
              </w:rPr>
            </w:pP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(50</w:t>
            </w:r>
            <w:r>
              <w:rPr>
                <w:rFonts w:hint="eastAsia" w:ascii="Times New Roman" w:hAnsi="Times New Roman" w:eastAsia="仿宋_GB2312" w:cs="Times New Roman"/>
                <w:sz w:val="20"/>
                <w:szCs w:val="20"/>
              </w:rPr>
              <w:t>分)</w:t>
            </w:r>
          </w:p>
        </w:tc>
        <w:tc>
          <w:tcPr>
            <w:tcW w:w="1080"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数量指标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办公设备购置</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≥2台/套</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10台/套</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both"/>
              <w:rPr>
                <w:rFonts w:hint="eastAsia" w:ascii="仿宋" w:hAnsi="仿宋" w:eastAsia="仿宋" w:cs="仿宋"/>
                <w:color w:val="auto"/>
                <w:sz w:val="15"/>
                <w:szCs w:val="15"/>
              </w:rPr>
            </w:pPr>
            <w:r>
              <w:rPr>
                <w:rFonts w:hint="eastAsia" w:ascii="仿宋" w:hAnsi="仿宋" w:eastAsia="仿宋" w:cs="仿宋"/>
                <w:color w:val="auto"/>
                <w:sz w:val="15"/>
                <w:szCs w:val="15"/>
              </w:rPr>
              <w:t>因办公设备存量及中心业务需求，由购置复合机改购中心业务工作急需的其他办公设备。往后加强预算资金细化，加强资产存量管理等。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9"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both"/>
              <w:rPr>
                <w:rFonts w:hint="eastAsia" w:ascii="仿宋" w:hAnsi="仿宋" w:eastAsia="仿宋" w:cs="仿宋"/>
                <w:color w:val="auto"/>
                <w:sz w:val="15"/>
                <w:szCs w:val="15"/>
              </w:rPr>
            </w:pPr>
            <w:r>
              <w:rPr>
                <w:rFonts w:hint="eastAsia" w:ascii="仿宋" w:hAnsi="仿宋" w:eastAsia="仿宋" w:cs="仿宋"/>
                <w:color w:val="auto"/>
                <w:sz w:val="15"/>
                <w:szCs w:val="15"/>
              </w:rPr>
              <w:t>公务用车购置</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1辆</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1辆</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4"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质量指标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办公设备购置验收合格率</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100%</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公务用车购置验收合格率</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100%</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时效指标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购置保障日常监管设备完成时间</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2024年12月31日前</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2024年12月31日前</w:t>
            </w:r>
          </w:p>
        </w:tc>
        <w:tc>
          <w:tcPr>
            <w:tcW w:w="828"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4"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购置公务用车完成时间</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2024年12月31日前</w:t>
            </w:r>
          </w:p>
        </w:tc>
        <w:tc>
          <w:tcPr>
            <w:tcW w:w="113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2024年12月31日前</w:t>
            </w:r>
          </w:p>
        </w:tc>
        <w:tc>
          <w:tcPr>
            <w:tcW w:w="828"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873"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仿宋" w:hAnsi="仿宋" w:eastAsia="仿宋" w:cs="仿宋"/>
                <w:color w:val="auto"/>
                <w:sz w:val="15"/>
                <w:szCs w:val="15"/>
              </w:rPr>
            </w:pPr>
            <w:r>
              <w:rPr>
                <w:rFonts w:hint="eastAsia" w:ascii="仿宋" w:hAnsi="仿宋" w:eastAsia="仿宋" w:cs="仿宋"/>
                <w:color w:val="auto"/>
                <w:sz w:val="15"/>
                <w:szCs w:val="15"/>
              </w:rPr>
              <w:t>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restart"/>
            <w:tcBorders>
              <w:top w:val="nil"/>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成本指标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购置办公设备成本</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≤5万元</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5万元</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4"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continue"/>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color w:val="auto"/>
                <w:sz w:val="20"/>
                <w:szCs w:val="20"/>
              </w:rPr>
            </w:pP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购置公务用车成本</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≤27万元</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17.98万元</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因政策变化，公务用车只能购置纯电车，成本下降。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8"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26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效益指标</w:t>
            </w:r>
          </w:p>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color w:val="auto"/>
                <w:sz w:val="20"/>
                <w:szCs w:val="20"/>
              </w:rPr>
              <w:t>（30分）</w:t>
            </w:r>
          </w:p>
        </w:tc>
        <w:tc>
          <w:tcPr>
            <w:tcW w:w="1080"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社会效</w:t>
            </w:r>
          </w:p>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益指标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有效提高网络商品交易监测工作效率和能力</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持续有效提高</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持续有效提高</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15</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15</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72" w:hRule="atLeast"/>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可持续影响指标</w:t>
            </w:r>
          </w:p>
        </w:tc>
        <w:tc>
          <w:tcPr>
            <w:tcW w:w="1224"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保障网络商品交易监测管理安全性，提升监测平台可持续发展力</w:t>
            </w:r>
          </w:p>
        </w:tc>
        <w:tc>
          <w:tcPr>
            <w:tcW w:w="1134"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持续保障</w:t>
            </w:r>
          </w:p>
        </w:tc>
        <w:tc>
          <w:tcPr>
            <w:tcW w:w="1134"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持续保障</w:t>
            </w:r>
          </w:p>
        </w:tc>
        <w:tc>
          <w:tcPr>
            <w:tcW w:w="828"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15</w:t>
            </w:r>
          </w:p>
        </w:tc>
        <w:tc>
          <w:tcPr>
            <w:tcW w:w="873"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15</w:t>
            </w:r>
          </w:p>
        </w:tc>
        <w:tc>
          <w:tcPr>
            <w:tcW w:w="1418" w:type="dxa"/>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080" w:type="dxa"/>
            <w:vMerge w:val="continue"/>
            <w:tcBorders>
              <w:top w:val="nil"/>
              <w:left w:val="single" w:color="auto" w:sz="4" w:space="0"/>
              <w:bottom w:val="nil"/>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p>
        </w:tc>
        <w:tc>
          <w:tcPr>
            <w:tcW w:w="1080"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满意度</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指标</w:t>
            </w:r>
          </w:p>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（10分）</w:t>
            </w:r>
          </w:p>
        </w:tc>
        <w:tc>
          <w:tcPr>
            <w:tcW w:w="1080" w:type="dxa"/>
            <w:tcBorders>
              <w:top w:val="single" w:color="auto" w:sz="4" w:space="0"/>
              <w:left w:val="nil"/>
              <w:bottom w:val="nil"/>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color w:val="auto"/>
                <w:sz w:val="20"/>
                <w:szCs w:val="20"/>
              </w:rPr>
            </w:pPr>
            <w:r>
              <w:rPr>
                <w:rFonts w:hint="eastAsia" w:ascii="Times New Roman" w:hAnsi="Times New Roman" w:eastAsia="仿宋_GB2312" w:cs="Times New Roman"/>
                <w:color w:val="auto"/>
                <w:sz w:val="20"/>
                <w:szCs w:val="20"/>
              </w:rPr>
              <w:t>服务对象满意度指标</w:t>
            </w:r>
          </w:p>
        </w:tc>
        <w:tc>
          <w:tcPr>
            <w:tcW w:w="122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网络监测服务对象满意度</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≧90%</w:t>
            </w:r>
          </w:p>
        </w:tc>
        <w:tc>
          <w:tcPr>
            <w:tcW w:w="1134"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90%</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r>
              <w:rPr>
                <w:rFonts w:hint="eastAsia" w:ascii="仿宋" w:hAnsi="仿宋" w:eastAsia="仿宋" w:cs="仿宋"/>
                <w:color w:val="auto"/>
                <w:sz w:val="15"/>
                <w:szCs w:val="15"/>
              </w:rPr>
              <w:t>10</w:t>
            </w:r>
          </w:p>
        </w:tc>
        <w:tc>
          <w:tcPr>
            <w:tcW w:w="141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仿宋" w:hAnsi="仿宋" w:eastAsia="仿宋" w:cs="仿宋"/>
                <w:color w:val="auto"/>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9" w:hRule="atLeast"/>
          <w:jc w:val="center"/>
        </w:trPr>
        <w:tc>
          <w:tcPr>
            <w:tcW w:w="6732" w:type="dxa"/>
            <w:gridSpan w:val="6"/>
            <w:tcBorders>
              <w:top w:val="single" w:color="auto" w:sz="4" w:space="0"/>
              <w:left w:val="single" w:color="auto" w:sz="4" w:space="0"/>
              <w:bottom w:val="single" w:color="auto" w:sz="4" w:space="0"/>
              <w:right w:val="single" w:color="000000"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总分</w:t>
            </w:r>
          </w:p>
        </w:tc>
        <w:tc>
          <w:tcPr>
            <w:tcW w:w="828"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Times New Roman" w:cs="Times New Roman"/>
                <w:sz w:val="20"/>
                <w:szCs w:val="20"/>
              </w:rPr>
            </w:pPr>
            <w:r>
              <w:rPr>
                <w:rFonts w:hint="eastAsia" w:ascii="Times New Roman" w:hAnsi="Times New Roman" w:eastAsia="Times New Roman" w:cs="Times New Roman"/>
                <w:sz w:val="20"/>
                <w:szCs w:val="20"/>
              </w:rPr>
              <w:t>100</w:t>
            </w:r>
          </w:p>
        </w:tc>
        <w:tc>
          <w:tcPr>
            <w:tcW w:w="873" w:type="dxa"/>
            <w:tcBorders>
              <w:top w:val="nil"/>
              <w:left w:val="nil"/>
              <w:bottom w:val="single" w:color="auto" w:sz="4" w:space="0"/>
              <w:right w:val="single" w:color="auto" w:sz="4" w:space="0"/>
              <w:tl2br w:val="nil"/>
              <w:tr2bl w:val="nil"/>
            </w:tcBorders>
            <w:vAlign w:val="center"/>
          </w:tcPr>
          <w:p>
            <w:pPr>
              <w:spacing w:beforeLines="0" w:afterLines="0"/>
              <w:jc w:val="center"/>
              <w:rPr>
                <w:rFonts w:hint="eastAsia" w:ascii="Times New Roman" w:hAnsi="Times New Roman" w:eastAsia="仿宋_GB2312" w:cs="Times New Roman"/>
                <w:sz w:val="20"/>
                <w:szCs w:val="20"/>
              </w:rPr>
            </w:pPr>
            <w:r>
              <w:rPr>
                <w:rFonts w:hint="eastAsia" w:ascii="Times New Roman" w:hAnsi="Times New Roman" w:eastAsia="仿宋_GB2312" w:cs="Times New Roman"/>
                <w:sz w:val="20"/>
                <w:szCs w:val="20"/>
              </w:rPr>
              <w:t>98</w:t>
            </w:r>
          </w:p>
        </w:tc>
        <w:tc>
          <w:tcPr>
            <w:tcW w:w="1418" w:type="dxa"/>
            <w:tcBorders>
              <w:top w:val="nil"/>
              <w:left w:val="nil"/>
              <w:bottom w:val="single" w:color="auto" w:sz="4" w:space="0"/>
              <w:right w:val="single" w:color="auto" w:sz="4" w:space="0"/>
              <w:tl2br w:val="nil"/>
              <w:tr2bl w:val="nil"/>
            </w:tcBorders>
            <w:vAlign w:val="center"/>
          </w:tcPr>
          <w:p>
            <w:pPr>
              <w:spacing w:beforeLines="0" w:afterLines="0"/>
              <w:rPr>
                <w:rFonts w:hint="eastAsia" w:ascii="Times New Roman" w:hAnsi="Times New Roman" w:eastAsia="Times New Roman" w:cs="Times New Roman"/>
                <w:sz w:val="20"/>
                <w:szCs w:val="20"/>
              </w:rPr>
            </w:pPr>
            <w:r>
              <w:rPr>
                <w:rFonts w:hint="eastAsia" w:ascii="Times New Roman" w:hAnsi="Times New Roman" w:eastAsia="仿宋_GB2312" w:cs="Times New Roman"/>
                <w:sz w:val="20"/>
                <w:szCs w:val="20"/>
              </w:rPr>
              <w:t>　</w:t>
            </w:r>
          </w:p>
        </w:tc>
      </w:tr>
    </w:tbl>
    <w:p>
      <w:pPr>
        <w:spacing w:beforeLines="0" w:afterLines="0" w:line="140" w:lineRule="exact"/>
        <w:rPr>
          <w:rFonts w:hint="default"/>
          <w:sz w:val="21"/>
          <w:szCs w:val="21"/>
        </w:rPr>
      </w:pPr>
    </w:p>
    <w:p>
      <w:pPr>
        <w:spacing w:before="167" w:beforeLines="0" w:afterLines="0" w:line="225" w:lineRule="auto"/>
        <w:rPr>
          <w:rFonts w:hint="default"/>
          <w:sz w:val="21"/>
          <w:szCs w:val="21"/>
        </w:rPr>
        <w:sectPr>
          <w:footerReference r:id="rId11" w:type="default"/>
          <w:pgSz w:w="11905" w:h="16840"/>
          <w:pgMar w:top="400" w:right="1435" w:bottom="1250" w:left="1436" w:header="0" w:footer="982" w:gutter="0"/>
          <w:lnNumType w:countBy="0" w:distance="360"/>
          <w:pgNumType w:fmt="numberInDash"/>
          <w:cols w:space="720" w:num="1"/>
          <w:docGrid w:type="linesAndChars" w:linePitch="312" w:charSpace="0"/>
        </w:sectPr>
      </w:pPr>
      <w:r>
        <w:rPr>
          <w:rFonts w:hint="eastAsia" w:ascii="微软雅黑" w:hAnsi="微软雅黑" w:eastAsia="微软雅黑" w:cs="微软雅黑"/>
          <w:spacing w:val="-7"/>
          <w:sz w:val="21"/>
          <w:szCs w:val="21"/>
        </w:rPr>
        <w:t>填表人：宋炀  填报日期：2025.03.28    联系电话：13507419009  单位负责人签字</w:t>
      </w:r>
      <w:r>
        <w:rPr>
          <w:rFonts w:hint="eastAsia" w:ascii="微软雅黑" w:hAnsi="微软雅黑" w:eastAsia="微软雅黑" w:cs="微软雅黑"/>
          <w:spacing w:val="-4"/>
          <w:sz w:val="21"/>
          <w:szCs w:val="21"/>
        </w:rPr>
        <w:t>：</w:t>
      </w:r>
      <w:r>
        <w:rPr>
          <w:rFonts w:hint="eastAsia" w:ascii="微软雅黑" w:hAnsi="微软雅黑" w:eastAsia="微软雅黑" w:cs="微软雅黑"/>
          <w:spacing w:val="-4"/>
          <w:sz w:val="21"/>
          <w:szCs w:val="21"/>
          <w:lang w:eastAsia="zh-CN"/>
        </w:rPr>
        <w:t>颜珠容</w:t>
      </w:r>
    </w:p>
    <w:p>
      <w:pPr>
        <w:spacing w:beforeLines="0" w:afterLines="0" w:line="262" w:lineRule="auto"/>
        <w:rPr>
          <w:rFonts w:hint="default"/>
          <w:sz w:val="21"/>
          <w:szCs w:val="21"/>
        </w:rPr>
      </w:pPr>
    </w:p>
    <w:p>
      <w:pPr>
        <w:autoSpaceDE/>
        <w:autoSpaceDN/>
        <w:spacing w:beforeLines="0" w:afterLines="0" w:line="600" w:lineRule="exact"/>
        <w:rPr>
          <w:rFonts w:hint="eastAsia" w:ascii="黑体" w:hAnsi="黑体" w:eastAsia="黑体" w:cs="黑体"/>
          <w:color w:val="auto"/>
          <w:sz w:val="32"/>
          <w:szCs w:val="32"/>
        </w:rPr>
      </w:pPr>
      <w:r>
        <w:rPr>
          <w:rFonts w:hint="eastAsia" w:ascii="黑体" w:hAnsi="黑体" w:eastAsia="黑体" w:cs="黑体"/>
          <w:color w:val="auto"/>
          <w:sz w:val="32"/>
          <w:szCs w:val="32"/>
        </w:rPr>
        <w:t>附件6</w:t>
      </w:r>
    </w:p>
    <w:p>
      <w:pPr>
        <w:widowControl w:val="0"/>
        <w:autoSpaceDE/>
        <w:autoSpaceDN/>
        <w:adjustRightInd/>
        <w:snapToGrid/>
        <w:spacing w:beforeLines="0" w:afterLines="0" w:line="600" w:lineRule="exact"/>
        <w:jc w:val="center"/>
        <w:textAlignment w:val="auto"/>
        <w:rPr>
          <w:rFonts w:hint="eastAsia" w:ascii="Times New Roman" w:hAnsi="Times New Roman" w:eastAsia="仿宋_GB2312" w:cs="Times New Roman"/>
          <w:color w:val="auto"/>
          <w:sz w:val="36"/>
          <w:szCs w:val="36"/>
        </w:rPr>
      </w:pPr>
      <w:r>
        <w:rPr>
          <w:rFonts w:hint="default" w:cs="Times New Roman"/>
          <w:color w:val="auto"/>
          <w:sz w:val="36"/>
          <w:szCs w:val="36"/>
        </w:rPr>
        <w:t>2024</w:t>
      </w:r>
      <w:r>
        <w:rPr>
          <w:rFonts w:hint="eastAsia" w:ascii="Times New Roman" w:hAnsi="Times New Roman" w:eastAsia="仿宋_GB2312" w:cs="Times New Roman"/>
          <w:color w:val="auto"/>
          <w:sz w:val="36"/>
          <w:szCs w:val="36"/>
        </w:rPr>
        <w:t>年度项目支出绩效自评表（其他事业发展类）</w:t>
      </w:r>
    </w:p>
    <w:tbl>
      <w:tblPr>
        <w:tblStyle w:val="13"/>
        <w:tblW w:w="935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项目支出名称</w:t>
            </w:r>
          </w:p>
        </w:tc>
        <w:tc>
          <w:tcPr>
            <w:tcW w:w="6397" w:type="dxa"/>
            <w:gridSpan w:val="6"/>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主管部门</w:t>
            </w:r>
          </w:p>
        </w:tc>
        <w:tc>
          <w:tcPr>
            <w:tcW w:w="4297" w:type="dxa"/>
            <w:gridSpan w:val="4"/>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single" w:color="auto" w:sz="4" w:space="0"/>
              <w:left w:val="nil"/>
              <w:bottom w:val="single" w:color="auto" w:sz="4" w:space="0"/>
              <w:right w:val="single" w:color="000000"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实施单位</w:t>
            </w:r>
          </w:p>
        </w:tc>
        <w:tc>
          <w:tcPr>
            <w:tcW w:w="2816" w:type="dxa"/>
            <w:gridSpan w:val="3"/>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l2br w:val="nil"/>
              <w:tr2bl w:val="nil"/>
            </w:tcBorders>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项目资金</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（万元）</w:t>
            </w:r>
          </w:p>
        </w:tc>
        <w:tc>
          <w:tcPr>
            <w:tcW w:w="1933" w:type="dxa"/>
            <w:gridSpan w:val="2"/>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top w:w="0" w:type="dxa"/>
              <w:left w:w="0" w:type="dxa"/>
              <w:bottom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年初预算数</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全年预算数</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全年执行数</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执行率</w:t>
            </w: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年度资金总额</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0</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0</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0</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其中：当年财政拨款</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l2br w:val="nil"/>
              <w:tr2bl w:val="nil"/>
            </w:tcBorders>
            <w:tcMar>
              <w:top w:w="0" w:type="dxa"/>
              <w:left w:w="0" w:type="dxa"/>
              <w:bottom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上年结转资金</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其他资金</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0</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年度总体目标</w:t>
            </w:r>
          </w:p>
        </w:tc>
        <w:tc>
          <w:tcPr>
            <w:tcW w:w="4297" w:type="dxa"/>
            <w:gridSpan w:val="4"/>
            <w:tcBorders>
              <w:top w:val="single" w:color="auto" w:sz="4" w:space="0"/>
              <w:left w:val="nil"/>
              <w:bottom w:val="single" w:color="auto" w:sz="4" w:space="0"/>
              <w:right w:val="single" w:color="000000"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预期目标</w:t>
            </w:r>
          </w:p>
        </w:tc>
        <w:tc>
          <w:tcPr>
            <w:tcW w:w="4033" w:type="dxa"/>
            <w:gridSpan w:val="4"/>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4297" w:type="dxa"/>
            <w:gridSpan w:val="4"/>
            <w:tcBorders>
              <w:top w:val="single" w:color="auto" w:sz="4" w:space="0"/>
              <w:left w:val="nil"/>
              <w:bottom w:val="single" w:color="auto" w:sz="4" w:space="0"/>
              <w:right w:val="single" w:color="000000"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4033" w:type="dxa"/>
            <w:gridSpan w:val="4"/>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标</w:t>
            </w:r>
          </w:p>
        </w:tc>
        <w:tc>
          <w:tcPr>
            <w:tcW w:w="1025"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一级指标</w:t>
            </w:r>
          </w:p>
        </w:tc>
        <w:tc>
          <w:tcPr>
            <w:tcW w:w="90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二级指标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三级指标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指标值</w:t>
            </w: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完成值</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得分</w:t>
            </w: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产出指标</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（50分）</w:t>
            </w: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数量指标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质量指标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时效指标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成本指标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效益指标</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（30分）</w:t>
            </w: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经济效</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益指标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社会效</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益指标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生态效</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益指标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restart"/>
            <w:tcBorders>
              <w:top w:val="single" w:color="auto" w:sz="4" w:space="0"/>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可持续影响指标</w:t>
            </w:r>
          </w:p>
        </w:tc>
        <w:tc>
          <w:tcPr>
            <w:tcW w:w="1182"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single" w:color="auto" w:sz="4" w:space="0"/>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single" w:color="auto" w:sz="4" w:space="0"/>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满意度</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指标</w:t>
            </w:r>
          </w:p>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（10分）</w:t>
            </w:r>
          </w:p>
        </w:tc>
        <w:tc>
          <w:tcPr>
            <w:tcW w:w="908" w:type="dxa"/>
            <w:vMerge w:val="restart"/>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服务对象满意度指标</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nil"/>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025"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908" w:type="dxa"/>
            <w:vMerge w:val="continue"/>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p>
        </w:tc>
        <w:tc>
          <w:tcPr>
            <w:tcW w:w="1182"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3" w:hRule="atLeast"/>
          <w:jc w:val="center"/>
        </w:trPr>
        <w:tc>
          <w:tcPr>
            <w:tcW w:w="6538" w:type="dxa"/>
            <w:gridSpan w:val="6"/>
            <w:tcBorders>
              <w:top w:val="single" w:color="auto" w:sz="4" w:space="0"/>
              <w:left w:val="single" w:color="auto" w:sz="4" w:space="0"/>
              <w:bottom w:val="single" w:color="auto" w:sz="4" w:space="0"/>
              <w:right w:val="single" w:color="000000"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总分</w:t>
            </w:r>
          </w:p>
        </w:tc>
        <w:tc>
          <w:tcPr>
            <w:tcW w:w="63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100</w:t>
            </w:r>
          </w:p>
        </w:tc>
        <w:tc>
          <w:tcPr>
            <w:tcW w:w="829"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l2br w:val="nil"/>
              <w:tr2bl w:val="nil"/>
            </w:tcBorders>
            <w:tcMar>
              <w:left w:w="0" w:type="dxa"/>
              <w:right w:w="0" w:type="dxa"/>
            </w:tcMar>
            <w:vAlign w:val="center"/>
          </w:tcPr>
          <w:p>
            <w:pPr>
              <w:autoSpaceDE/>
              <w:autoSpaceDN/>
              <w:spacing w:beforeLines="0" w:afterLines="0" w:line="240" w:lineRule="exact"/>
              <w:jc w:val="center"/>
              <w:rPr>
                <w:rFonts w:hint="eastAsia" w:ascii="Times New Roman" w:hAnsi="Times New Roman" w:eastAsia="仿宋_GB2312" w:cs="Times New Roman"/>
                <w:color w:val="auto"/>
                <w:sz w:val="20"/>
                <w:szCs w:val="20"/>
              </w:rPr>
            </w:pPr>
          </w:p>
        </w:tc>
      </w:tr>
    </w:tbl>
    <w:p>
      <w:pPr>
        <w:spacing w:before="167" w:beforeLines="0" w:afterLines="0" w:line="225" w:lineRule="auto"/>
        <w:rPr>
          <w:rFonts w:hint="default"/>
          <w:sz w:val="21"/>
          <w:szCs w:val="21"/>
        </w:rPr>
        <w:sectPr>
          <w:footerReference r:id="rId12" w:type="default"/>
          <w:pgSz w:w="11905" w:h="16840"/>
          <w:pgMar w:top="400" w:right="1435" w:bottom="1250" w:left="1436" w:header="0" w:footer="982" w:gutter="0"/>
          <w:lnNumType w:countBy="0" w:distance="360"/>
          <w:pgNumType w:fmt="numberInDash"/>
          <w:cols w:space="720" w:num="1"/>
          <w:docGrid w:type="linesAndChars" w:linePitch="312" w:charSpace="0"/>
        </w:sectPr>
      </w:pPr>
      <w:r>
        <w:rPr>
          <w:rFonts w:hint="eastAsia" w:ascii="微软雅黑" w:hAnsi="微软雅黑" w:eastAsia="微软雅黑" w:cs="微软雅黑"/>
          <w:spacing w:val="-7"/>
          <w:sz w:val="21"/>
          <w:szCs w:val="21"/>
        </w:rPr>
        <w:t>填表人：宋炀  填报日期：2025.03.28    联系电话：13507419009  单位负责人签字</w:t>
      </w:r>
      <w:r>
        <w:rPr>
          <w:rFonts w:hint="eastAsia" w:ascii="微软雅黑" w:hAnsi="微软雅黑" w:eastAsia="微软雅黑" w:cs="微软雅黑"/>
          <w:spacing w:val="-4"/>
          <w:sz w:val="21"/>
          <w:szCs w:val="21"/>
        </w:rPr>
        <w:t>：</w:t>
      </w:r>
      <w:r>
        <w:rPr>
          <w:rFonts w:hint="eastAsia" w:ascii="微软雅黑" w:hAnsi="微软雅黑" w:eastAsia="微软雅黑" w:cs="微软雅黑"/>
          <w:spacing w:val="-4"/>
          <w:sz w:val="21"/>
          <w:szCs w:val="21"/>
          <w:lang w:eastAsia="zh-CN"/>
        </w:rPr>
        <w:t>颜珠容</w:t>
      </w:r>
    </w:p>
    <w:p>
      <w:pPr>
        <w:topLinePunct/>
        <w:autoSpaceDE/>
        <w:autoSpaceDN/>
        <w:spacing w:beforeLines="0" w:afterLines="0" w:line="400" w:lineRule="exact"/>
        <w:jc w:val="both"/>
        <w:rPr>
          <w:rFonts w:hint="eastAsia" w:ascii="黑体" w:hAnsi="黑体" w:eastAsia="黑体" w:cs="黑体"/>
          <w:color w:val="auto"/>
          <w:sz w:val="32"/>
          <w:szCs w:val="32"/>
        </w:rPr>
      </w:pPr>
      <w:r>
        <w:rPr>
          <w:rFonts w:hint="eastAsia" w:ascii="黑体" w:hAnsi="黑体" w:eastAsia="黑体" w:cs="黑体"/>
          <w:color w:val="auto"/>
          <w:sz w:val="32"/>
          <w:szCs w:val="32"/>
        </w:rPr>
        <w:t>附件7</w:t>
      </w:r>
    </w:p>
    <w:p>
      <w:pPr>
        <w:widowControl w:val="0"/>
        <w:autoSpaceDE/>
        <w:autoSpaceDN/>
        <w:adjustRightInd/>
        <w:snapToGrid/>
        <w:spacing w:beforeLines="0" w:afterLines="0" w:line="600" w:lineRule="exact"/>
        <w:jc w:val="center"/>
        <w:textAlignment w:val="auto"/>
        <w:rPr>
          <w:rFonts w:hint="eastAsia" w:ascii="Times New Roman" w:hAnsi="Times New Roman" w:eastAsia="仿宋_GB2312" w:cs="Times New Roman"/>
          <w:color w:val="auto"/>
          <w:sz w:val="36"/>
          <w:szCs w:val="36"/>
        </w:rPr>
      </w:pPr>
      <w:r>
        <w:rPr>
          <w:rFonts w:hint="eastAsia" w:ascii="Times New Roman" w:hAnsi="Times New Roman" w:eastAsia="仿宋_GB2312" w:cs="Times New Roman"/>
          <w:color w:val="auto"/>
          <w:sz w:val="36"/>
          <w:szCs w:val="36"/>
        </w:rPr>
        <w:t>单位整体支出绩效自评工作考核评分表</w:t>
      </w:r>
    </w:p>
    <w:tbl>
      <w:tblPr>
        <w:tblStyle w:val="13"/>
        <w:tblW w:w="935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113"/>
        <w:gridCol w:w="4689"/>
        <w:gridCol w:w="28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12" w:type="dxa"/>
            <w:tcBorders>
              <w:top w:val="single" w:color="auto" w:sz="8"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b/>
                <w:color w:val="auto"/>
                <w:sz w:val="20"/>
                <w:szCs w:val="20"/>
              </w:rPr>
            </w:pPr>
            <w:r>
              <w:rPr>
                <w:rFonts w:hint="eastAsia" w:ascii="Times New Roman" w:hAnsi="Times New Roman" w:eastAsia="仿宋_GB2312" w:cs="Times New Roman"/>
                <w:b/>
                <w:color w:val="auto"/>
                <w:sz w:val="20"/>
                <w:szCs w:val="20"/>
              </w:rPr>
              <w:t>一级指标</w:t>
            </w:r>
          </w:p>
        </w:tc>
        <w:tc>
          <w:tcPr>
            <w:tcW w:w="1113" w:type="dxa"/>
            <w:tcBorders>
              <w:top w:val="single" w:color="auto" w:sz="8"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b/>
                <w:color w:val="auto"/>
                <w:sz w:val="20"/>
                <w:szCs w:val="20"/>
              </w:rPr>
            </w:pPr>
            <w:r>
              <w:rPr>
                <w:rFonts w:hint="eastAsia" w:ascii="Times New Roman" w:hAnsi="Times New Roman" w:eastAsia="仿宋_GB2312" w:cs="Times New Roman"/>
                <w:b/>
                <w:color w:val="auto"/>
                <w:sz w:val="20"/>
                <w:szCs w:val="20"/>
              </w:rPr>
              <w:t>二级指标</w:t>
            </w:r>
          </w:p>
        </w:tc>
        <w:tc>
          <w:tcPr>
            <w:tcW w:w="4689" w:type="dxa"/>
            <w:tcBorders>
              <w:top w:val="single" w:color="auto" w:sz="8"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b/>
                <w:color w:val="auto"/>
                <w:sz w:val="20"/>
                <w:szCs w:val="20"/>
              </w:rPr>
            </w:pPr>
            <w:r>
              <w:rPr>
                <w:rFonts w:hint="eastAsia" w:ascii="Times New Roman" w:hAnsi="Times New Roman" w:eastAsia="仿宋_GB2312" w:cs="Times New Roman"/>
                <w:b/>
                <w:color w:val="auto"/>
                <w:sz w:val="20"/>
                <w:szCs w:val="20"/>
              </w:rPr>
              <w:t>评分标准</w:t>
            </w:r>
          </w:p>
        </w:tc>
        <w:tc>
          <w:tcPr>
            <w:tcW w:w="2840" w:type="dxa"/>
            <w:tcBorders>
              <w:top w:val="single" w:color="auto" w:sz="8"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b/>
                <w:color w:val="auto"/>
                <w:sz w:val="20"/>
                <w:szCs w:val="20"/>
              </w:rPr>
            </w:pPr>
            <w:r>
              <w:rPr>
                <w:rFonts w:hint="eastAsia" w:ascii="Times New Roman" w:hAnsi="Times New Roman" w:eastAsia="仿宋_GB2312" w:cs="Times New Roman"/>
                <w:b/>
                <w:color w:val="auto"/>
                <w:sz w:val="20"/>
                <w:szCs w:val="20"/>
              </w:rPr>
              <w:t>所需佐证材料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restart"/>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布置工作</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default" w:hAnsi="Times New Roman" w:cs="Times New Roman"/>
                <w:color w:val="auto"/>
                <w:sz w:val="20"/>
                <w:szCs w:val="20"/>
              </w:rPr>
              <w:t>（</w:t>
            </w:r>
            <w:r>
              <w:rPr>
                <w:rFonts w:hint="eastAsia" w:ascii="Times New Roman" w:hAnsi="Times New Roman" w:eastAsia="仿宋_GB2312" w:cs="Times New Roman"/>
                <w:color w:val="auto"/>
                <w:sz w:val="20"/>
                <w:szCs w:val="20"/>
              </w:rPr>
              <w:t>5</w:t>
            </w:r>
            <w:r>
              <w:rPr>
                <w:rFonts w:hint="default" w:hAnsi="Times New Roman" w:cs="Times New Roman"/>
                <w:color w:val="auto"/>
                <w:sz w:val="20"/>
                <w:szCs w:val="20"/>
              </w:rPr>
              <w:t>分</w:t>
            </w:r>
            <w:r>
              <w:rPr>
                <w:rFonts w:hint="eastAsia" w:ascii="Times New Roman" w:hAnsi="Times New Roman" w:eastAsia="仿宋_GB2312" w:cs="Times New Roman"/>
                <w:color w:val="auto"/>
                <w:sz w:val="20"/>
                <w:szCs w:val="20"/>
              </w:rPr>
              <w:t>）</w:t>
            </w: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自评通知</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（3分）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组织本单位内设部门开展绩效自评，有相关文件的得3分，否则不得分。</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绩效自评通知盖章的电子版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工作小组</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（2分）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成立绩效自评工作小组的得2分，否则不得分。</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本单位预算绩效管理领导小组/绩效评价工作小组有关文件盖章的电子版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restart"/>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绩效管理基础工作</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default" w:hAnsi="Times New Roman" w:cs="Times New Roman"/>
                <w:color w:val="auto"/>
                <w:sz w:val="20"/>
                <w:szCs w:val="20"/>
                <w:lang w:bidi="ar"/>
              </w:rPr>
              <w:t>（</w:t>
            </w:r>
            <w:r>
              <w:rPr>
                <w:rFonts w:hint="eastAsia" w:ascii="Times New Roman" w:hAnsi="Times New Roman" w:eastAsia="仿宋_GB2312" w:cs="Times New Roman"/>
                <w:color w:val="auto"/>
                <w:sz w:val="20"/>
                <w:szCs w:val="20"/>
                <w:lang w:bidi="ar"/>
              </w:rPr>
              <w:t>10分</w:t>
            </w:r>
            <w:r>
              <w:rPr>
                <w:rFonts w:hint="default" w:hAnsi="Times New Roman" w:cs="Times New Roman"/>
                <w:color w:val="auto"/>
                <w:sz w:val="20"/>
                <w:szCs w:val="20"/>
                <w:lang w:bidi="ar"/>
              </w:rPr>
              <w:t>）</w:t>
            </w: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绩效目标</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管理</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bidi="ar"/>
              </w:rPr>
              <w:t>（5分）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每个单位均要按要求开展绩效自查，对照年初绩效目标批复表，完成绩效评价，计1分；</w:t>
            </w:r>
            <w:r>
              <w:rPr>
                <w:rFonts w:hint="eastAsia" w:ascii="Times New Roman" w:hAnsi="Times New Roman" w:eastAsia="仿宋_GB2312" w:cs="Times New Roman"/>
                <w:color w:val="auto"/>
                <w:sz w:val="20"/>
                <w:szCs w:val="20"/>
                <w:lang w:bidi="ar"/>
              </w:rPr>
              <w:t>有专项资金的直属机构应积极对接归口管理处室获取绩效目标分解表的，计2分；积极主动对接归口管理处室，并汇总绩效目标表的，计2分。</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绩效目标汇总表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项目管理</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情况</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bidi="ar"/>
              </w:rPr>
              <w:t>（5分）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bidi="ar"/>
              </w:rPr>
              <w:t>制定发文的项目管理制度，制度应包含项目的绩效目标设置、资金分配、分配因素、项目绩效管理、项目验收、资料归档等方面的内容，全部包含计5分，每发现缺少一项扣1分，扣完为止。</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项目管理制度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restart"/>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绩效运行监控情况</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bidi="ar"/>
              </w:rPr>
              <w:t>（5分）</w:t>
            </w: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监控执行性（2分）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是否在规定时间内提交预算执行进度和绩效目标完成情况“双监控”表格的，每推迟1个工作日扣1分，扣完为止。</w:t>
            </w:r>
          </w:p>
        </w:tc>
        <w:tc>
          <w:tcPr>
            <w:tcW w:w="2840"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default" w:hAnsi="Times New Roman" w:cs="Times New Roman"/>
                <w:color w:val="auto"/>
                <w:sz w:val="20"/>
                <w:szCs w:val="20"/>
                <w:lang w:bidi="ar"/>
              </w:rPr>
              <w:t>2024</w:t>
            </w:r>
            <w:r>
              <w:rPr>
                <w:rFonts w:hint="eastAsia" w:ascii="Times New Roman" w:hAnsi="Times New Roman" w:eastAsia="仿宋_GB2312" w:cs="Times New Roman"/>
                <w:color w:val="auto"/>
                <w:sz w:val="20"/>
                <w:szCs w:val="20"/>
                <w:lang w:bidi="ar"/>
              </w:rPr>
              <w:t>年度绩效运行监控报告、绩效运行监控表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lang w:bidi="ar"/>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监控有效性（3分）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①是否存在未经批复随意改动绩效指标的情况，如有扣1分；</w:t>
            </w:r>
          </w:p>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②绩效目标有偏差，未对偏差原因进行分析，提出整改措施的，每发现一项扣1分，扣完为止。</w:t>
            </w:r>
          </w:p>
        </w:tc>
        <w:tc>
          <w:tcPr>
            <w:tcW w:w="2840"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2" w:hRule="atLeast"/>
          <w:jc w:val="center"/>
        </w:trPr>
        <w:tc>
          <w:tcPr>
            <w:tcW w:w="712" w:type="dxa"/>
            <w:vMerge w:val="restart"/>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资金绩效情况</w:t>
            </w:r>
          </w:p>
          <w:p>
            <w:pPr>
              <w:autoSpaceDE/>
              <w:autoSpaceDN/>
              <w:spacing w:beforeLines="0" w:afterLines="0" w:line="340" w:lineRule="exact"/>
              <w:jc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10分</w:t>
            </w: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预算执行</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情况</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（5分）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预算执行率超过90%，计5分；预算执行率在80%</w:t>
            </w:r>
            <w:r>
              <w:rPr>
                <w:rFonts w:hint="default" w:hAnsi="Times New Roman" w:cs="Times New Roman"/>
                <w:color w:val="auto"/>
                <w:sz w:val="20"/>
                <w:szCs w:val="20"/>
                <w:lang w:bidi="ar"/>
              </w:rPr>
              <w:t>～</w:t>
            </w:r>
            <w:r>
              <w:rPr>
                <w:rFonts w:hint="eastAsia" w:ascii="Times New Roman" w:hAnsi="Times New Roman" w:eastAsia="仿宋_GB2312" w:cs="Times New Roman"/>
                <w:color w:val="auto"/>
                <w:sz w:val="20"/>
                <w:szCs w:val="20"/>
                <w:lang w:bidi="ar"/>
              </w:rPr>
              <w:t>90%之间，扣3分；预算执行率低于80%，扣5分。</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按</w:t>
            </w:r>
            <w:r>
              <w:rPr>
                <w:rFonts w:hint="default" w:hAnsi="Times New Roman" w:cs="Times New Roman"/>
                <w:color w:val="auto"/>
                <w:sz w:val="20"/>
                <w:szCs w:val="20"/>
                <w:lang w:bidi="ar"/>
              </w:rPr>
              <w:t>2024</w:t>
            </w:r>
            <w:r>
              <w:rPr>
                <w:rFonts w:hint="eastAsia" w:ascii="Times New Roman" w:hAnsi="Times New Roman" w:eastAsia="仿宋_GB2312" w:cs="Times New Roman"/>
                <w:color w:val="auto"/>
                <w:sz w:val="20"/>
                <w:szCs w:val="20"/>
                <w:lang w:bidi="ar"/>
              </w:rPr>
              <w:t>年度单位整体支出绩效自评表中预算执行数及实际执行情况计分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64" w:hRule="atLeast"/>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lang w:bidi="ar"/>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资金使用</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情况</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（5分）</w:t>
            </w:r>
          </w:p>
        </w:tc>
        <w:tc>
          <w:tcPr>
            <w:tcW w:w="4689"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①是否违反财经法规和单位财务管理制度、专项资金管理办法、绩效管理办法、政府采购法、预算批复等规定，每发现一处扣1分；②是否存在截留、挤占、挪用、虚列支出等情况，每发现一处扣1分；③专项资金是否专项核算，每发现一处扣1分；扣完为止。</w:t>
            </w:r>
          </w:p>
        </w:tc>
        <w:tc>
          <w:tcPr>
            <w:tcW w:w="2840" w:type="dxa"/>
            <w:tcBorders>
              <w:top w:val="single" w:color="auto" w:sz="4" w:space="0"/>
              <w:left w:val="single" w:color="auto" w:sz="4" w:space="0"/>
              <w:bottom w:val="single" w:color="auto" w:sz="4" w:space="0"/>
              <w:right w:val="single" w:color="auto" w:sz="8"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按资料检查和现场检查情况计分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jc w:val="center"/>
        </w:trPr>
        <w:tc>
          <w:tcPr>
            <w:tcW w:w="712" w:type="dxa"/>
            <w:vMerge w:val="restart"/>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自评报告</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70分</w:t>
            </w: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及时性</w:t>
            </w:r>
          </w:p>
          <w:p>
            <w:pPr>
              <w:autoSpaceDE/>
              <w:autoSpaceDN/>
              <w:spacing w:beforeLines="0" w:afterLines="0" w:line="340" w:lineRule="exact"/>
              <w:jc w:val="center"/>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lang w:bidi="ar"/>
              </w:rPr>
              <w:t>（10分）</w:t>
            </w:r>
          </w:p>
        </w:tc>
        <w:tc>
          <w:tcPr>
            <w:tcW w:w="7529" w:type="dxa"/>
            <w:gridSpan w:val="2"/>
            <w:tcBorders>
              <w:top w:val="single" w:color="auto" w:sz="4" w:space="0"/>
              <w:left w:val="single" w:color="auto" w:sz="4" w:space="0"/>
              <w:bottom w:val="single" w:color="auto" w:sz="4" w:space="0"/>
              <w:right w:val="single" w:color="auto" w:sz="8" w:space="0"/>
              <w:tl2br w:val="nil"/>
              <w:tr2bl w:val="nil"/>
            </w:tcBorders>
            <w:vAlign w:val="center"/>
          </w:tcPr>
          <w:p>
            <w:pPr>
              <w:autoSpaceDE/>
              <w:autoSpaceDN/>
              <w:adjustRightInd/>
              <w:snapToGrid/>
              <w:spacing w:beforeLines="0" w:afterLines="0" w:line="340" w:lineRule="exact"/>
              <w:jc w:val="both"/>
              <w:textAlignment w:val="center"/>
              <w:rPr>
                <w:rFonts w:hint="eastAsia" w:ascii="Times New Roman" w:hAnsi="Times New Roman" w:eastAsia="仿宋_GB2312" w:cs="Times New Roman"/>
                <w:color w:val="auto"/>
                <w:sz w:val="20"/>
                <w:szCs w:val="20"/>
                <w:lang w:bidi="ar"/>
              </w:rPr>
            </w:pPr>
            <w:r>
              <w:rPr>
                <w:rFonts w:hint="eastAsia" w:ascii="Times New Roman" w:hAnsi="Times New Roman" w:eastAsia="仿宋_GB2312" w:cs="Times New Roman"/>
                <w:color w:val="auto"/>
                <w:sz w:val="20"/>
                <w:szCs w:val="20"/>
              </w:rPr>
              <w:t>按时向省局报送报告的得10分；每推迟一个工作日报送报告的扣3分，最多扣10分。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93" w:hRule="atLeast"/>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完整性</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（10分）</w:t>
            </w:r>
          </w:p>
        </w:tc>
        <w:tc>
          <w:tcPr>
            <w:tcW w:w="7529" w:type="dxa"/>
            <w:gridSpan w:val="2"/>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1、绩效自评报告正文部分内容齐全的，得5分；否则每少一个部分扣1分，最多扣5分。</w:t>
            </w:r>
          </w:p>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2、绩效自评报告附件部分内容齐全的，得5分；否则每少一个部分扣1分，最多扣5分。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41" w:hRule="atLeast"/>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绩效</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自评表</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（15分）</w:t>
            </w:r>
          </w:p>
        </w:tc>
        <w:tc>
          <w:tcPr>
            <w:tcW w:w="7529" w:type="dxa"/>
            <w:gridSpan w:val="2"/>
            <w:tcBorders>
              <w:top w:val="single" w:color="auto" w:sz="4" w:space="0"/>
              <w:left w:val="single" w:color="auto" w:sz="4" w:space="0"/>
              <w:bottom w:val="single" w:color="auto" w:sz="4" w:space="0"/>
              <w:right w:val="single" w:color="auto" w:sz="8" w:space="0"/>
              <w:tl2br w:val="nil"/>
              <w:tr2bl w:val="nil"/>
            </w:tcBorders>
            <w:vAlign w:val="center"/>
          </w:tcPr>
          <w:p>
            <w:pPr>
              <w:topLinePunct/>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1、单位整体支出和项目支出绩效指标反映产出、效益、服务对象满意度方面的指标和预算执行率的权重符合《湖南省省级预算部门绩效自评操作规程》第八条要求的，得5分，否则按比例扣除相应的分数。</w:t>
            </w:r>
          </w:p>
          <w:p>
            <w:pPr>
              <w:topLinePunct/>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2、单位整体支出和项目支出绩效指标全部细化到三级指标的，得5分；部分细化的，酌情扣分；没有细化的，不得分。</w:t>
            </w:r>
          </w:p>
          <w:p>
            <w:pPr>
              <w:topLinePunct/>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3、单位整体支出和项目支出三级绩效指标内涵明确、具体、可衡量的得5分；突出核心指标，精简实用的得3分；指标与部门整体支出和项目支出密切相关，全面反映产出和效益的得2分；否则，每项酌情扣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95" w:hRule="atLeast"/>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反映问</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题情况</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（20分）</w:t>
            </w:r>
          </w:p>
        </w:tc>
        <w:tc>
          <w:tcPr>
            <w:tcW w:w="7529" w:type="dxa"/>
            <w:gridSpan w:val="2"/>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从预算和预算绩效管理，单位履职效能，资金分配、使用和管理，资产和财务管理，政府采购等方面归纳问题、分析原因，每1条问题应对应1条原因分析，每提出1条问题、1条原因分析的得5分；只提出资金不足问题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jc w:val="center"/>
        </w:trPr>
        <w:tc>
          <w:tcPr>
            <w:tcW w:w="712" w:type="dxa"/>
            <w:vMerge w:val="continue"/>
            <w:tcBorders>
              <w:top w:val="single" w:color="auto" w:sz="4" w:space="0"/>
              <w:left w:val="single" w:color="auto" w:sz="8"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p>
        </w:tc>
        <w:tc>
          <w:tcPr>
            <w:tcW w:w="1113" w:type="dxa"/>
            <w:tcBorders>
              <w:top w:val="single" w:color="auto" w:sz="4" w:space="0"/>
              <w:left w:val="single" w:color="auto" w:sz="4" w:space="0"/>
              <w:bottom w:val="single" w:color="auto" w:sz="4"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建议情况</w:t>
            </w:r>
          </w:p>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（15分）</w:t>
            </w:r>
          </w:p>
        </w:tc>
        <w:tc>
          <w:tcPr>
            <w:tcW w:w="7529" w:type="dxa"/>
            <w:gridSpan w:val="2"/>
            <w:tcBorders>
              <w:top w:val="single" w:color="auto" w:sz="4" w:space="0"/>
              <w:left w:val="single" w:color="auto" w:sz="4" w:space="0"/>
              <w:bottom w:val="single" w:color="auto" w:sz="4"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建议与问题应一一对应，每提出1条建议得5分，只提出加大资金投入建议的不得分；其他情况酌情扣分。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712" w:type="dxa"/>
            <w:tcBorders>
              <w:top w:val="single" w:color="auto" w:sz="4" w:space="0"/>
              <w:left w:val="single" w:color="auto" w:sz="8" w:space="0"/>
              <w:bottom w:val="single" w:color="auto" w:sz="8"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合计</w:t>
            </w:r>
          </w:p>
        </w:tc>
        <w:tc>
          <w:tcPr>
            <w:tcW w:w="1113" w:type="dxa"/>
            <w:tcBorders>
              <w:top w:val="single" w:color="auto" w:sz="4" w:space="0"/>
              <w:left w:val="single" w:color="auto" w:sz="4" w:space="0"/>
              <w:bottom w:val="single" w:color="auto" w:sz="8" w:space="0"/>
              <w:right w:val="single" w:color="auto" w:sz="4" w:space="0"/>
              <w:tl2br w:val="nil"/>
              <w:tr2bl w:val="nil"/>
            </w:tcBorders>
            <w:vAlign w:val="center"/>
          </w:tcPr>
          <w:p>
            <w:pPr>
              <w:autoSpaceDE/>
              <w:autoSpaceDN/>
              <w:spacing w:beforeLines="0" w:afterLines="0" w:line="340" w:lineRule="exact"/>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100分</w:t>
            </w:r>
          </w:p>
        </w:tc>
        <w:tc>
          <w:tcPr>
            <w:tcW w:w="7529" w:type="dxa"/>
            <w:gridSpan w:val="2"/>
            <w:tcBorders>
              <w:top w:val="single" w:color="auto" w:sz="4" w:space="0"/>
              <w:left w:val="single" w:color="auto" w:sz="4" w:space="0"/>
              <w:bottom w:val="single" w:color="auto" w:sz="8" w:space="0"/>
              <w:right w:val="single" w:color="auto" w:sz="8" w:space="0"/>
              <w:tl2br w:val="nil"/>
              <w:tr2bl w:val="nil"/>
            </w:tcBorders>
            <w:vAlign w:val="center"/>
          </w:tcPr>
          <w:p>
            <w:pPr>
              <w:autoSpaceDE/>
              <w:autoSpaceDN/>
              <w:spacing w:beforeLines="0" w:afterLines="0" w:line="340" w:lineRule="exact"/>
              <w:jc w:val="both"/>
              <w:rPr>
                <w:rFonts w:hint="eastAsia" w:ascii="Times New Roman" w:hAnsi="Times New Roman" w:eastAsia="仿宋_GB2312" w:cs="Times New Roman"/>
                <w:color w:val="auto"/>
                <w:sz w:val="20"/>
                <w:szCs w:val="20"/>
                <w:lang w:val="en-US" w:eastAsia="zh-CN"/>
              </w:rPr>
            </w:pPr>
          </w:p>
        </w:tc>
      </w:tr>
    </w:tbl>
    <w:p>
      <w:pPr>
        <w:autoSpaceDE/>
        <w:autoSpaceDN/>
        <w:spacing w:beforeLines="0" w:afterLines="0"/>
        <w:rPr>
          <w:rFonts w:hint="eastAsia" w:ascii="Times New Roman" w:hAnsi="Times New Roman" w:eastAsia="Times New Roman" w:cs="Times New Roman"/>
          <w:color w:val="auto"/>
          <w:spacing w:val="-2"/>
          <w:sz w:val="32"/>
          <w:szCs w:val="32"/>
        </w:rPr>
      </w:pPr>
    </w:p>
    <w:p>
      <w:pPr>
        <w:autoSpaceDE/>
        <w:autoSpaceDN/>
        <w:spacing w:before="104" w:beforeLines="0" w:afterLines="0" w:line="425" w:lineRule="exact"/>
        <w:rPr>
          <w:rFonts w:hint="eastAsia" w:ascii="仿宋_GB2312" w:hAnsi="仿宋_GB2312" w:eastAsia="仿宋_GB2312" w:cs="仿宋_GB2312"/>
          <w:spacing w:val="-2"/>
          <w:sz w:val="32"/>
          <w:szCs w:val="32"/>
        </w:rPr>
      </w:pPr>
    </w:p>
    <w:p>
      <w:pPr>
        <w:pStyle w:val="18"/>
        <w:spacing w:line="600" w:lineRule="exact"/>
        <w:ind w:firstLine="640" w:firstLineChars="200"/>
        <w:rPr>
          <w:rFonts w:ascii="Times New Roman" w:hAnsi="Times New Roman" w:eastAsia="仿宋_GB2312" w:cs="Times New Roman"/>
          <w:sz w:val="32"/>
          <w:szCs w:val="32"/>
        </w:rPr>
      </w:pPr>
    </w:p>
    <w:p>
      <w:pPr>
        <w:pStyle w:val="18"/>
        <w:jc w:val="center"/>
        <w:rPr>
          <w:rFonts w:ascii="Times New Roman" w:hAnsi="Times New Roman" w:cs="Times New Roman"/>
          <w:sz w:val="72"/>
          <w:szCs w:val="72"/>
        </w:rPr>
      </w:pPr>
    </w:p>
    <w:p>
      <w:pPr>
        <w:pStyle w:val="18"/>
        <w:jc w:val="center"/>
        <w:rPr>
          <w:rFonts w:ascii="Times New Roman" w:hAnsi="Times New Roman" w:cs="Times New Roman"/>
          <w:sz w:val="72"/>
          <w:szCs w:val="72"/>
        </w:rPr>
      </w:pPr>
    </w:p>
    <w:p>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beforeLines="0" w:afterLines="0" w:line="182" w:lineRule="auto"/>
      <w:ind w:right="38"/>
      <w:jc w:val="right"/>
      <w:rPr>
        <w:rFonts w:hint="eastAsia" w:ascii="宋体" w:hAnsi="宋体" w:eastAsia="宋体" w:cs="宋体"/>
        <w:sz w:val="27"/>
        <w:szCs w:val="27"/>
      </w:rPr>
    </w:pPr>
    <w:r>
      <w:rPr>
        <w:rFonts w:hint="default"/>
        <w:sz w:val="27"/>
        <w:szCs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w:t>
                          </w:r>
                          <w:r>
                            <w:rPr>
                              <w:rFonts w:hint="eastAsia" w:eastAsia="宋体"/>
                              <w:sz w:val="18"/>
                              <w:szCs w:val="21"/>
                            </w:rPr>
                            <w:fldChar w:fldCharType="end"/>
                          </w:r>
                        </w:p>
                      </w:txbxContent>
                    </wps:txbx>
                    <wps:bodyPr vert="horz" wrap="none" lIns="0" tIns="0" rIns="0" bIns="0" anchor="t" anchorCtr="0" upright="1">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njmXcIBAABwAwAADgAAAGRycy9lMm9Eb2MueG1srVNNrhMxDN4jcYco&#10;e5pphVA1avoEPD2EhADpwQHSTNKJlMRRknamHABuwIoNe87Vc+BkOn387BCbjGM7n7/P9mxuRmfJ&#10;UcVkwHO6XDSUKC+hM37P6ccPd0/WlKQsfCcseMXpSSV6s338aDOEVq2gB9upSBDEp3YInPY5h5ax&#10;JHvlRFpAUB6DGqITGa9xz7ooBkR3lq2a5hkbIHYhglQpofd2CtJtxddayfxO66QysZwit1zPWM9d&#10;Odl2I9p9FKE38kJD/AMLJ4zHoleoW5EFOUTzF5QzMkICnRcSHAOtjVRVA6pZNn+oue9FUFULNieF&#10;a5vS/4OVb4/vIzEdpytKvHA4ovPXL+dvP87fP5OnpT1DSC1m3QfMy+MLGHHMsz+hs6gedXTli3oI&#10;xrHRp2tz1ZiJLI/Wq/W6wZDE2HxBfPbwPMSUXylwpBicRpxebao4vkl5Sp1TSjUPd8baOkHrf3Mg&#10;ZvGwwn3iWKw87saLoB10J9SDi4t1eoifKBlwCTj1uKWU2Ncee1z2ZTbibOxmQ3iJDznNlEzmyzzt&#10;1SFEs+8Rd1nJp/D8kJFpFVBoTLUv7HCstQWXFSx78+u9Zj38KN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FJ45l3CAQAAcAMAAA4AAAAAAAAAAQAgAAAAHgEAAGRycy9lMm9Eb2MueG1sUEsF&#10;BgAAAAAGAAYAWQEAAFIFAAAAAA==&#10;">
              <v:fill on="f" focussize="0,0"/>
              <v:stroke on="f"/>
              <v:imagedata o:title=""/>
              <o:lock v:ext="edit" aspectratio="f"/>
              <v:textbox inset="0mm,0mm,0mm,0mm" style="mso-fit-shape-to-text:t;">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w:t>
                    </w:r>
                    <w:r>
                      <w:rPr>
                        <w:rFonts w:hint="eastAsia" w:eastAsia="宋体"/>
                        <w:sz w:val="18"/>
                        <w:szCs w:val="21"/>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beforeLines="0" w:afterLines="0" w:line="182" w:lineRule="auto"/>
      <w:ind w:left="45"/>
      <w:rPr>
        <w:rFonts w:hint="eastAsia" w:ascii="宋体" w:hAnsi="宋体" w:eastAsia="宋体" w:cs="宋体"/>
        <w:sz w:val="27"/>
        <w:szCs w:val="27"/>
      </w:rPr>
    </w:pPr>
    <w:r>
      <w:rPr>
        <w:rFonts w:hint="default"/>
        <w:sz w:val="27"/>
        <w:szCs w:val="21"/>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wps:txbx>
                    <wps:bodyPr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6SlvMQBAABwAwAADgAAAGRycy9lMm9Eb2MueG1srVPBbhMxEL0j9R8s&#10;3xtvgkDRKk4FVEVICJAKH+B4vVlLtseyneyGD4A/4MSFO9+V7+jYm02hvVW9eMcz4zfvzcyurgZr&#10;yF6FqMFxOp9VlCgnodFuy+m3rzeXS0piEq4RBpzi9KAivVpfvFj1vlYL6MA0KhAEcbHuPaddSr5m&#10;LMpOWRFn4JXDYAvBioTXsGVNED2iW8MWVfWa9RAaH0CqGNF7PQbpuuC3rZLpc9tGlYjhFLmlcoZy&#10;bvLJ1itRb4PwnZYnGuIJLKzQDoueoa5FEmQX9CMoq2WACG2aSbAM2lZLVTSgmnn1QM1tJ7wqWrA5&#10;0Z/bFJ8PVn7afwlEN5y+pMQJiyM6/vp5/P33+OcHeZXb0/tYY9atx7w0vIUBxzz5Izqz6qENNn9R&#10;D8E4Nvpwbq4aEpH50XKxXFYYkhibLojP7p/7ENN7BZZkg9OA0ytNFfuPMY2pU0qu5uBGG1MmaNx/&#10;DsTMHpa5jxyzlYbNcBK0geaAenBxsU4H4TslPS4Bpw63lBLzwWGP875MRpiMzWQIJ/Ehp4mS0XyX&#10;xr3a+aC3HeLOC/no3+wSMi0CMo2x9okdjrW04LSCeW/+vZes+x9lf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J6SlvMQBAABwAwAADgAAAAAAAAABACAAAAAeAQAAZHJzL2Uyb0RvYy54bWxQ&#10;SwUGAAAAAAYABgBZAQAAVAUAAAAA&#10;">
              <v:fill on="f" focussize="0,0"/>
              <v:stroke on="f"/>
              <v:imagedata o:title=""/>
              <o:lock v:ext="edit" aspectratio="f"/>
              <v:textbox inset="0mm,0mm,0mm,0mm" style="mso-fit-shape-to-text:t;">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v:textbox>
            </v:shape>
          </w:pict>
        </mc:Fallback>
      </mc:AlternateContent>
    </w:r>
    <w:r>
      <w:rPr>
        <w:rFonts w:hint="eastAsia" w:ascii="宋体" w:hAnsi="宋体" w:eastAsia="宋体" w:cs="宋体"/>
        <w:spacing w:val="5"/>
        <w:sz w:val="27"/>
        <w:szCs w:val="27"/>
      </w:rPr>
      <w:t>—</w:t>
    </w:r>
    <w:r>
      <w:rPr>
        <w:rFonts w:hint="eastAsia" w:ascii="宋体" w:hAnsi="宋体" w:eastAsia="宋体" w:cs="宋体"/>
        <w:spacing w:val="4"/>
        <w:sz w:val="27"/>
        <w:szCs w:val="27"/>
      </w:rPr>
      <w:t xml:space="preserve"> </w:t>
    </w:r>
    <w:r>
      <w:rPr>
        <w:rFonts w:hint="eastAsia" w:ascii="Times New Roman" w:hAnsi="Times New Roman" w:eastAsia="Times New Roman" w:cs="Times New Roman"/>
        <w:spacing w:val="4"/>
        <w:sz w:val="27"/>
        <w:szCs w:val="27"/>
      </w:rPr>
      <w:t xml:space="preserve">10  </w:t>
    </w:r>
    <w:r>
      <w:rPr>
        <w:rFonts w:hint="eastAsia" w:ascii="宋体" w:hAnsi="宋体" w:eastAsia="宋体" w:cs="宋体"/>
        <w:spacing w:val="4"/>
        <w:sz w:val="27"/>
        <w:szCs w:val="27"/>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beforeLines="0" w:afterLines="0" w:line="182" w:lineRule="auto"/>
      <w:ind w:left="45"/>
      <w:rPr>
        <w:rFonts w:hint="eastAsia" w:ascii="宋体" w:hAnsi="宋体" w:eastAsia="宋体" w:cs="宋体"/>
        <w:sz w:val="27"/>
        <w:szCs w:val="27"/>
      </w:rPr>
    </w:pPr>
    <w:r>
      <w:rPr>
        <w:rFonts w:hint="default"/>
        <w:sz w:val="27"/>
        <w:szCs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5sBOa8BAABLAwAADgAAAGRycy9lMm9Eb2MueG1srVNLbtswEN0XyB0I&#10;7mPKXgSuYDlIEaQIULQF0h6ApkiLAMkhSNqSL5DcIKtsuu+5fI4OacnpZ1dkQw1nhm/emxmtrgdr&#10;yF6GqME1dD6rKJFOQKvdtqHfv91dLimJibuWG3CyoQcZ6fX64t2q97VcQAemlYEgiIt17xvapeRr&#10;xqLopOVxBl46DCoIlie8hi1rA+8R3Rq2qKor1kNofQAhY0Tv7SlI1wVfKSnSF6WiTMQ0FLmlcoZy&#10;bvLJ1itebwP3nRYjDf4fLCzXDoueoW554mQX9D9QVosAEVSaCbAMlNJCFg2oZl79peah414WLdic&#10;6M9tim8HKz7vvwaiW5wdJY5bHNHx+en48vP445G8z+3pfawx68FjXho+wJBTR39EZ1Y9qGDzF/UQ&#10;jGOjD+fmyiERkR8tF8tlhSGBsemCOOz1uQ8xfZRgSTYaGnB6pal8/ymmU+qUkqs5uNPGoJ/Xxv3h&#10;QMzsYZn7iWO20rAZRuIbaA+op8fBN9ThZlJi7h32Ne/IZITJ2EzGzge97ZDavPCK/maXkEThliuc&#10;YMfCOLGibtyuvBK/30vW6z+w/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B5sBOa8BAABL&#10;AwAADgAAAAAAAAABACAAAAAeAQAAZHJzL2Uyb0RvYy54bWxQSwUGAAAAAAYABgBZAQAAPwUAAAAA&#10;">
              <v:fill on="f" focussize="0,0"/>
              <v:stroke on="f"/>
              <v:imagedata o:title=""/>
              <o:lock v:ext="edit" aspectratio="f"/>
              <v:textbox inset="0mm,0mm,0mm,0mm" style="mso-fit-shape-to-text:t;">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v:textbox>
            </v:shape>
          </w:pict>
        </mc:Fallback>
      </mc:AlternateContent>
    </w:r>
    <w:r>
      <w:rPr>
        <w:rFonts w:hint="eastAsia" w:ascii="宋体" w:hAnsi="宋体" w:eastAsia="宋体" w:cs="宋体"/>
        <w:spacing w:val="5"/>
        <w:sz w:val="27"/>
        <w:szCs w:val="27"/>
      </w:rPr>
      <w:t>—</w:t>
    </w:r>
    <w:r>
      <w:rPr>
        <w:rFonts w:hint="eastAsia" w:ascii="宋体" w:hAnsi="宋体" w:eastAsia="宋体" w:cs="宋体"/>
        <w:spacing w:val="4"/>
        <w:sz w:val="27"/>
        <w:szCs w:val="27"/>
      </w:rPr>
      <w:t xml:space="preserve"> </w:t>
    </w:r>
    <w:r>
      <w:rPr>
        <w:rFonts w:hint="eastAsia" w:ascii="Times New Roman" w:hAnsi="Times New Roman" w:eastAsia="Times New Roman" w:cs="Times New Roman"/>
        <w:spacing w:val="4"/>
        <w:sz w:val="27"/>
        <w:szCs w:val="27"/>
      </w:rPr>
      <w:t xml:space="preserve">10  </w:t>
    </w:r>
    <w:r>
      <w:rPr>
        <w:rFonts w:hint="eastAsia" w:ascii="宋体" w:hAnsi="宋体" w:eastAsia="宋体" w:cs="宋体"/>
        <w:spacing w:val="4"/>
        <w:sz w:val="27"/>
        <w:szCs w:val="27"/>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beforeLines="0" w:afterLines="0" w:line="182" w:lineRule="auto"/>
      <w:ind w:left="45"/>
      <w:rPr>
        <w:rFonts w:hint="eastAsia" w:ascii="宋体" w:hAnsi="宋体" w:eastAsia="宋体" w:cs="宋体"/>
        <w:sz w:val="27"/>
        <w:szCs w:val="27"/>
      </w:rPr>
    </w:pPr>
    <w:r>
      <w:rPr>
        <w:rFonts w:hint="default"/>
        <w:sz w:val="27"/>
        <w:szCs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HC9/68BAABLAwAADgAAAGRycy9lMm9Eb2MueG1srVNLbtswEN0HyB0I&#10;7mvKXgSuYDlIEKQIULQFkhyApkiLAH8Y0pZ8geQGXXXTfc/lc2RIW07S7IpuqOHM8M17M6PF5WAN&#10;2UqI2ruGTicVJdIJ32q3bujjw+2nOSUxcddy451s6E5Gerk8P1v0oZYz33nTSiAI4mLdh4Z2KYWa&#10;sSg6aXmc+CAdBpUHyxNeYc1a4D2iW8NmVXXBeg9tAC9kjOi9OQTpsuArJUX6rlSUiZiGIrdUTijn&#10;Kp9sueD1GnjotDjS4P/AwnLtsOgJ6oYnTjagP0BZLcBHr9JEeMu8UlrIogHVTKu/1Nx3PMiiBZsT&#10;w6lN8f/Bim/bH0B029ALShy3OKL9z+f9rz/730/kc25PH2KNWfcB89Jw7Qcc8+iP6MyqBwU2f1EP&#10;wTg2endqrhwSEfnRfDafVxgSGBsviM9enweI6Yv0lmSjoYDTK03l268xHVLHlFzN+VttTJmgce8c&#10;iJk9LHM/cMxWGlbDUdDKtzvU0+PgG+pwMykxdw77mndkNGA0VqOxCaDXHVKbFl4xXG0SkijccoUD&#10;7LEwTqyoO25XXom395L1+g8sX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0HC9/68BAABL&#10;AwAADgAAAAAAAAABACAAAAAeAQAAZHJzL2Uyb0RvYy54bWxQSwUGAAAAAAYABgBZAQAAPwUAAAAA&#10;">
              <v:fill on="f" focussize="0,0"/>
              <v:stroke on="f"/>
              <v:imagedata o:title=""/>
              <o:lock v:ext="edit" aspectratio="f"/>
              <v:textbox inset="0mm,0mm,0mm,0mm" style="mso-fit-shape-to-text:t;">
                <w:txbxContent>
                  <w:p>
                    <w:pPr>
                      <w:spacing w:beforeLines="0" w:afterLines="0"/>
                      <w:rPr>
                        <w:rFonts w:hint="eastAsia" w:eastAsia="宋体"/>
                        <w:sz w:val="18"/>
                        <w:szCs w:val="21"/>
                      </w:rPr>
                    </w:pPr>
                    <w:r>
                      <w:rPr>
                        <w:rFonts w:hint="eastAsia" w:eastAsia="宋体"/>
                        <w:sz w:val="18"/>
                        <w:szCs w:val="21"/>
                      </w:rPr>
                      <w:fldChar w:fldCharType="begin"/>
                    </w:r>
                    <w:r>
                      <w:rPr>
                        <w:rFonts w:hint="eastAsia" w:eastAsia="宋体"/>
                        <w:sz w:val="18"/>
                        <w:szCs w:val="21"/>
                      </w:rPr>
                      <w:instrText xml:space="preserve"> PAGE  \* MERGEFORMAT </w:instrText>
                    </w:r>
                    <w:r>
                      <w:rPr>
                        <w:rFonts w:hint="eastAsia" w:eastAsia="宋体"/>
                        <w:sz w:val="18"/>
                        <w:szCs w:val="21"/>
                      </w:rPr>
                      <w:fldChar w:fldCharType="separate"/>
                    </w:r>
                    <w:r>
                      <w:rPr>
                        <w:rFonts w:hint="eastAsia" w:eastAsia="宋体"/>
                        <w:sz w:val="18"/>
                        <w:szCs w:val="21"/>
                      </w:rPr>
                      <w:t>19</w:t>
                    </w:r>
                    <w:r>
                      <w:rPr>
                        <w:rFonts w:hint="eastAsia" w:eastAsia="宋体"/>
                        <w:sz w:val="18"/>
                        <w:szCs w:val="21"/>
                      </w:rPr>
                      <w:fldChar w:fldCharType="end"/>
                    </w:r>
                  </w:p>
                </w:txbxContent>
              </v:textbox>
            </v:shape>
          </w:pict>
        </mc:Fallback>
      </mc:AlternateContent>
    </w:r>
    <w:r>
      <w:rPr>
        <w:rFonts w:hint="eastAsia" w:ascii="宋体" w:hAnsi="宋体" w:eastAsia="宋体" w:cs="宋体"/>
        <w:spacing w:val="5"/>
        <w:sz w:val="27"/>
        <w:szCs w:val="27"/>
      </w:rPr>
      <w:t>—</w:t>
    </w:r>
    <w:r>
      <w:rPr>
        <w:rFonts w:hint="eastAsia" w:ascii="宋体" w:hAnsi="宋体" w:eastAsia="宋体" w:cs="宋体"/>
        <w:spacing w:val="4"/>
        <w:sz w:val="27"/>
        <w:szCs w:val="27"/>
      </w:rPr>
      <w:t xml:space="preserve"> </w:t>
    </w:r>
    <w:r>
      <w:rPr>
        <w:rFonts w:hint="eastAsia" w:ascii="Times New Roman" w:hAnsi="Times New Roman" w:eastAsia="Times New Roman" w:cs="Times New Roman"/>
        <w:spacing w:val="4"/>
        <w:sz w:val="27"/>
        <w:szCs w:val="27"/>
      </w:rPr>
      <w:t xml:space="preserve">10  </w:t>
    </w:r>
    <w:r>
      <w:rPr>
        <w:rFonts w:hint="eastAsia" w:ascii="宋体" w:hAnsi="宋体" w:eastAsia="宋体" w:cs="宋体"/>
        <w:spacing w:val="4"/>
        <w:sz w:val="27"/>
        <w:szCs w:val="27"/>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4" w:lineRule="auto"/>
      <w:rPr>
        <w:rFonts w:hint="default"/>
        <w:sz w:val="2"/>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14BBB7"/>
    <w:multiLevelType w:val="multilevel"/>
    <w:tmpl w:val="8414BBB7"/>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620F0EA0"/>
    <w:multiLevelType w:val="multilevel"/>
    <w:tmpl w:val="620F0EA0"/>
    <w:lvl w:ilvl="0" w:tentative="0">
      <w:start w:val="1"/>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1F13A8"/>
    <w:rsid w:val="026E4675"/>
    <w:rsid w:val="031C3C19"/>
    <w:rsid w:val="0B293924"/>
    <w:rsid w:val="0D026C5D"/>
    <w:rsid w:val="0E451BBB"/>
    <w:rsid w:val="0E503F1E"/>
    <w:rsid w:val="0E527E56"/>
    <w:rsid w:val="0EB9334C"/>
    <w:rsid w:val="0FEC765B"/>
    <w:rsid w:val="10A94663"/>
    <w:rsid w:val="19DF2515"/>
    <w:rsid w:val="1CFE573C"/>
    <w:rsid w:val="1D1651CF"/>
    <w:rsid w:val="1D97DEFF"/>
    <w:rsid w:val="1DFF72E5"/>
    <w:rsid w:val="1E5866DD"/>
    <w:rsid w:val="1EF26F6E"/>
    <w:rsid w:val="1EFC6F07"/>
    <w:rsid w:val="20186877"/>
    <w:rsid w:val="22446015"/>
    <w:rsid w:val="26D23727"/>
    <w:rsid w:val="27140273"/>
    <w:rsid w:val="27BD604D"/>
    <w:rsid w:val="29725C82"/>
    <w:rsid w:val="2A0E5F21"/>
    <w:rsid w:val="2BCF5A01"/>
    <w:rsid w:val="2C813D78"/>
    <w:rsid w:val="2E3E426E"/>
    <w:rsid w:val="2EFD3846"/>
    <w:rsid w:val="2FDF85B8"/>
    <w:rsid w:val="2FFFEE04"/>
    <w:rsid w:val="30D07DF6"/>
    <w:rsid w:val="31633163"/>
    <w:rsid w:val="34AA1669"/>
    <w:rsid w:val="34DF85B0"/>
    <w:rsid w:val="35BE0F0A"/>
    <w:rsid w:val="36FD1312"/>
    <w:rsid w:val="3B8F36BC"/>
    <w:rsid w:val="3C0D346F"/>
    <w:rsid w:val="3CB5554C"/>
    <w:rsid w:val="3D9C08ED"/>
    <w:rsid w:val="3FB9520F"/>
    <w:rsid w:val="40CD1F8A"/>
    <w:rsid w:val="415B4F64"/>
    <w:rsid w:val="44930AA7"/>
    <w:rsid w:val="46E20FC6"/>
    <w:rsid w:val="46F65102"/>
    <w:rsid w:val="491FF225"/>
    <w:rsid w:val="4AD00587"/>
    <w:rsid w:val="4BDD7D6C"/>
    <w:rsid w:val="4D7759E0"/>
    <w:rsid w:val="4FFD214C"/>
    <w:rsid w:val="535F6489"/>
    <w:rsid w:val="561D4A85"/>
    <w:rsid w:val="5777D4F5"/>
    <w:rsid w:val="59996400"/>
    <w:rsid w:val="59DD8326"/>
    <w:rsid w:val="5C495AB9"/>
    <w:rsid w:val="5DEF592A"/>
    <w:rsid w:val="5E90002F"/>
    <w:rsid w:val="5EDD2597"/>
    <w:rsid w:val="5F11688A"/>
    <w:rsid w:val="5FC6BB1E"/>
    <w:rsid w:val="5FF720F1"/>
    <w:rsid w:val="605A2AAF"/>
    <w:rsid w:val="61392352"/>
    <w:rsid w:val="628241AA"/>
    <w:rsid w:val="62B657BE"/>
    <w:rsid w:val="62D04B09"/>
    <w:rsid w:val="64946B6F"/>
    <w:rsid w:val="66896F41"/>
    <w:rsid w:val="67FF5C0B"/>
    <w:rsid w:val="69D040C2"/>
    <w:rsid w:val="6C5630FD"/>
    <w:rsid w:val="6C5E7776"/>
    <w:rsid w:val="6D724C18"/>
    <w:rsid w:val="6EFC0924"/>
    <w:rsid w:val="6FB74722"/>
    <w:rsid w:val="6FEF8B7E"/>
    <w:rsid w:val="71A6591B"/>
    <w:rsid w:val="72C308BF"/>
    <w:rsid w:val="737D59BA"/>
    <w:rsid w:val="73FD5615"/>
    <w:rsid w:val="74764753"/>
    <w:rsid w:val="75AF41B1"/>
    <w:rsid w:val="77493F8A"/>
    <w:rsid w:val="77B875B5"/>
    <w:rsid w:val="77C37683"/>
    <w:rsid w:val="79D19834"/>
    <w:rsid w:val="79EA1A55"/>
    <w:rsid w:val="79FF515B"/>
    <w:rsid w:val="7C9E27FC"/>
    <w:rsid w:val="7E9E1962"/>
    <w:rsid w:val="7E9F11B4"/>
    <w:rsid w:val="7F37EC1E"/>
    <w:rsid w:val="7F7DCD9D"/>
    <w:rsid w:val="7F970A6F"/>
    <w:rsid w:val="7FC1FFF3"/>
    <w:rsid w:val="7FC69637"/>
    <w:rsid w:val="7FDF8620"/>
    <w:rsid w:val="7FE8C8F7"/>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customStyle="1" w:styleId="2">
    <w:name w:val="样式 首行缩进:  2 字符"/>
    <w:basedOn w:val="1"/>
    <w:unhideWhenUsed/>
    <w:qFormat/>
    <w:uiPriority w:val="0"/>
    <w:pPr>
      <w:spacing w:beforeLines="0" w:afterLines="0"/>
      <w:ind w:firstLine="480"/>
    </w:pPr>
    <w:rPr>
      <w:rFonts w:hint="default" w:eastAsia="仿宋_GB2312" w:cs="宋体"/>
      <w:sz w:val="21"/>
      <w:szCs w:val="20"/>
    </w:rPr>
  </w:style>
  <w:style w:type="paragraph" w:styleId="3">
    <w:name w:val="Body Text First Indent"/>
    <w:basedOn w:val="4"/>
    <w:next w:val="1"/>
    <w:unhideWhenUsed/>
    <w:qFormat/>
    <w:uiPriority w:val="0"/>
    <w:pPr>
      <w:spacing w:beforeLines="0" w:after="120" w:afterLines="0"/>
      <w:ind w:firstLine="420" w:firstLineChars="100"/>
    </w:pPr>
    <w:rPr>
      <w:rFonts w:hint="default"/>
      <w:sz w:val="21"/>
      <w:szCs w:val="20"/>
    </w:rPr>
  </w:style>
  <w:style w:type="paragraph" w:styleId="4">
    <w:name w:val="Body Text"/>
    <w:basedOn w:val="1"/>
    <w:next w:val="1"/>
    <w:unhideWhenUsed/>
    <w:qFormat/>
    <w:uiPriority w:val="99"/>
    <w:pPr>
      <w:spacing w:beforeLines="0" w:afterLines="0"/>
    </w:pPr>
    <w:rPr>
      <w:rFonts w:hint="default"/>
      <w:kern w:val="0"/>
      <w:sz w:val="20"/>
      <w:szCs w:val="20"/>
    </w:rPr>
  </w:style>
  <w:style w:type="paragraph" w:styleId="5">
    <w:name w:val="Body Text Indent"/>
    <w:basedOn w:val="1"/>
    <w:next w:val="6"/>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First Indent 2"/>
    <w:basedOn w:val="5"/>
    <w:next w:val="1"/>
    <w:unhideWhenUsed/>
    <w:qFormat/>
    <w:uiPriority w:val="99"/>
    <w:pPr>
      <w:ind w:firstLine="420" w:firstLineChars="200"/>
    </w:pPr>
  </w:style>
  <w:style w:type="paragraph" w:styleId="7">
    <w:name w:val="Balloon Text"/>
    <w:basedOn w:val="1"/>
    <w:link w:val="20"/>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next w:val="6"/>
    <w:semiHidden/>
    <w:qFormat/>
    <w:uiPriority w:val="0"/>
    <w:pPr>
      <w:snapToGrid w:val="0"/>
      <w:jc w:val="left"/>
    </w:pPr>
    <w:rPr>
      <w:sz w:val="18"/>
      <w:szCs w:val="18"/>
    </w:rPr>
  </w:style>
  <w:style w:type="paragraph" w:styleId="11">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customStyle="1" w:styleId="14">
    <w:name w:val="正文-公1"/>
    <w:basedOn w:val="15"/>
    <w:next w:val="1"/>
    <w:qFormat/>
    <w:uiPriority w:val="0"/>
    <w:pPr>
      <w:ind w:firstLine="200" w:firstLineChars="200"/>
    </w:p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4"/>
    <w:qFormat/>
    <w:uiPriority w:val="0"/>
    <w:pPr>
      <w:widowControl w:val="0"/>
      <w:jc w:val="both"/>
    </w:pPr>
    <w:rPr>
      <w:rFonts w:ascii="Times New Roman" w:hAnsi="Times New Roman" w:eastAsia="宋体" w:cs="Times New Roman"/>
      <w:kern w:val="2"/>
      <w:sz w:val="21"/>
      <w:lang w:val="en-US" w:eastAsia="zh-CN"/>
    </w:rPr>
  </w:style>
  <w:style w:type="character" w:customStyle="1" w:styleId="16">
    <w:name w:val="页眉 Char"/>
    <w:basedOn w:val="12"/>
    <w:link w:val="9"/>
    <w:qFormat/>
    <w:uiPriority w:val="99"/>
    <w:rPr>
      <w:sz w:val="18"/>
      <w:szCs w:val="18"/>
    </w:rPr>
  </w:style>
  <w:style w:type="character" w:customStyle="1" w:styleId="17">
    <w:name w:val="页脚 Char"/>
    <w:basedOn w:val="12"/>
    <w:link w:val="8"/>
    <w:qFormat/>
    <w:uiPriority w:val="99"/>
    <w:rPr>
      <w:sz w:val="18"/>
      <w:szCs w:val="18"/>
    </w:rPr>
  </w:style>
  <w:style w:type="paragraph" w:customStyle="1" w:styleId="18">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customStyle="1" w:styleId="19">
    <w:name w:val="List Paragraph"/>
    <w:basedOn w:val="1"/>
    <w:qFormat/>
    <w:uiPriority w:val="34"/>
    <w:pPr>
      <w:ind w:firstLine="420" w:firstLineChars="200"/>
    </w:pPr>
  </w:style>
  <w:style w:type="character" w:customStyle="1" w:styleId="20">
    <w:name w:val="批注框文本 Char"/>
    <w:basedOn w:val="12"/>
    <w:link w:val="7"/>
    <w:semiHidden/>
    <w:qFormat/>
    <w:uiPriority w:val="99"/>
    <w:rPr>
      <w:sz w:val="18"/>
      <w:szCs w:val="18"/>
    </w:rPr>
  </w:style>
  <w:style w:type="character" w:customStyle="1" w:styleId="21">
    <w:name w:val="font01"/>
    <w:basedOn w:val="12"/>
    <w:qFormat/>
    <w:uiPriority w:val="0"/>
    <w:rPr>
      <w:rFonts w:hint="eastAsia" w:ascii="宋体" w:hAnsi="宋体" w:eastAsia="宋体" w:cs="宋体"/>
      <w:color w:val="000000"/>
      <w:sz w:val="22"/>
      <w:szCs w:val="22"/>
      <w:u w:val="none"/>
    </w:rPr>
  </w:style>
  <w:style w:type="character" w:customStyle="1" w:styleId="22">
    <w:name w:val="font21"/>
    <w:basedOn w:val="12"/>
    <w:qFormat/>
    <w:uiPriority w:val="0"/>
    <w:rPr>
      <w:rFonts w:hint="eastAsia" w:ascii="宋体" w:hAnsi="宋体" w:eastAsia="宋体" w:cs="宋体"/>
      <w:color w:val="000000"/>
      <w:sz w:val="24"/>
      <w:szCs w:val="24"/>
      <w:u w:val="none"/>
    </w:rPr>
  </w:style>
  <w:style w:type="character" w:customStyle="1" w:styleId="23">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23</Words>
  <Characters>26</Characters>
  <Lines>1</Lines>
  <Paragraphs>1</Paragraphs>
  <TotalTime>8</TotalTime>
  <ScaleCrop>false</ScaleCrop>
  <LinksUpToDate>false</LinksUpToDate>
  <CharactersWithSpaces>26</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宋炀</cp:lastModifiedBy>
  <cp:lastPrinted>2025-09-08T00:53:00Z</cp:lastPrinted>
  <dcterms:modified xsi:type="dcterms:W3CDTF">2025-09-12T07:32:46Z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030711AE11BF499DAB0ED1DC8AB638FD_13</vt:lpwstr>
  </property>
  <property fmtid="{D5CDD505-2E9C-101B-9397-08002B2CF9AE}" pid="4" name="KSOTemplateDocerSaveRecord">
    <vt:lpwstr>eyJoZGlkIjoiOTFmMWZlMjJjOTJkODkwMWFlMzA4ZTA0ZmVhN2VlMGYiLCJ1c2VySWQiOiIzNTIwMTQxMzAifQ==</vt:lpwstr>
  </property>
</Properties>
</file>