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DBF193">
      <w:pPr>
        <w:pStyle w:val="12"/>
        <w:jc w:val="both"/>
        <w:rPr>
          <w:rFonts w:hAnsi="黑体"/>
          <w:sz w:val="36"/>
          <w:szCs w:val="36"/>
        </w:rPr>
      </w:pPr>
      <w:r>
        <w:rPr>
          <w:rFonts w:hint="eastAsia" w:hAnsi="黑体"/>
          <w:sz w:val="36"/>
          <w:szCs w:val="36"/>
        </w:rPr>
        <w:t>附件1</w:t>
      </w:r>
    </w:p>
    <w:p w14:paraId="46C2C9F5">
      <w:pPr>
        <w:pStyle w:val="12"/>
        <w:jc w:val="center"/>
        <w:rPr>
          <w:rFonts w:ascii="Times New Roman" w:hAnsi="Times New Roman" w:cs="Times New Roman"/>
          <w:sz w:val="56"/>
          <w:szCs w:val="56"/>
        </w:rPr>
      </w:pPr>
    </w:p>
    <w:p w14:paraId="4E0534BE">
      <w:pPr>
        <w:pStyle w:val="12"/>
        <w:jc w:val="center"/>
        <w:rPr>
          <w:rFonts w:ascii="Times New Roman" w:hAnsi="Times New Roman" w:cs="Times New Roman"/>
          <w:sz w:val="84"/>
          <w:szCs w:val="84"/>
        </w:rPr>
      </w:pPr>
    </w:p>
    <w:p w14:paraId="782530F4">
      <w:pPr>
        <w:pStyle w:val="12"/>
        <w:jc w:val="center"/>
        <w:rPr>
          <w:rFonts w:ascii="Times New Roman" w:hAnsi="Times New Roman" w:cs="Times New Roman"/>
          <w:sz w:val="84"/>
          <w:szCs w:val="84"/>
        </w:rPr>
      </w:pPr>
    </w:p>
    <w:p w14:paraId="0173F874">
      <w:pPr>
        <w:pStyle w:val="12"/>
        <w:jc w:val="center"/>
        <w:rPr>
          <w:rFonts w:ascii="Times New Roman" w:hAnsi="Times New Roman" w:eastAsia="方正小标宋简体" w:cs="Times New Roman"/>
          <w:sz w:val="72"/>
          <w:szCs w:val="72"/>
        </w:rPr>
      </w:pPr>
      <w:r>
        <w:rPr>
          <w:rFonts w:ascii="Times New Roman" w:hAnsi="Times New Roman" w:eastAsia="方正小标宋简体" w:cs="Times New Roman"/>
          <w:sz w:val="72"/>
          <w:szCs w:val="72"/>
        </w:rPr>
        <w:t>2024年度</w:t>
      </w:r>
    </w:p>
    <w:p w14:paraId="4F1A853D">
      <w:pPr>
        <w:pStyle w:val="12"/>
        <w:jc w:val="center"/>
        <w:rPr>
          <w:rFonts w:hint="eastAsia" w:ascii="Times New Roman" w:hAnsi="Times New Roman" w:eastAsia="方正小标宋简体" w:cs="Times New Roman"/>
          <w:sz w:val="72"/>
          <w:szCs w:val="72"/>
          <w:lang w:eastAsia="zh-CN"/>
        </w:rPr>
      </w:pPr>
      <w:r>
        <w:rPr>
          <w:rFonts w:hint="eastAsia" w:ascii="Times New Roman" w:hAnsi="Times New Roman" w:eastAsia="方正小标宋简体" w:cs="Times New Roman"/>
          <w:sz w:val="72"/>
          <w:szCs w:val="72"/>
          <w:lang w:eastAsia="zh-CN"/>
        </w:rPr>
        <w:t>湖南省知识产权保护中心</w:t>
      </w:r>
    </w:p>
    <w:p w14:paraId="699CFAF6">
      <w:pPr>
        <w:pStyle w:val="12"/>
        <w:jc w:val="center"/>
        <w:rPr>
          <w:rFonts w:ascii="Times New Roman" w:hAnsi="Times New Roman" w:eastAsia="方正小标宋简体" w:cs="Times New Roman"/>
          <w:sz w:val="72"/>
          <w:szCs w:val="72"/>
        </w:rPr>
      </w:pPr>
      <w:r>
        <w:rPr>
          <w:rFonts w:hint="eastAsia" w:ascii="Times New Roman" w:hAnsi="Times New Roman" w:eastAsia="方正小标宋简体" w:cs="Times New Roman"/>
          <w:sz w:val="72"/>
          <w:szCs w:val="72"/>
          <w:lang w:eastAsia="zh-CN"/>
        </w:rPr>
        <w:t>单位</w:t>
      </w:r>
      <w:r>
        <w:rPr>
          <w:rFonts w:ascii="Times New Roman" w:hAnsi="Times New Roman" w:eastAsia="方正小标宋简体" w:cs="Times New Roman"/>
          <w:sz w:val="72"/>
          <w:szCs w:val="72"/>
        </w:rPr>
        <w:t>决算</w:t>
      </w:r>
    </w:p>
    <w:p w14:paraId="5A78D16E">
      <w:pPr>
        <w:pStyle w:val="12"/>
        <w:jc w:val="center"/>
        <w:rPr>
          <w:rFonts w:ascii="Times New Roman" w:hAnsi="Times New Roman" w:eastAsia="方正小标宋_GBK" w:cs="Times New Roman"/>
          <w:sz w:val="56"/>
          <w:szCs w:val="56"/>
        </w:rPr>
      </w:pPr>
    </w:p>
    <w:p w14:paraId="742AFF86">
      <w:pPr>
        <w:pStyle w:val="12"/>
        <w:jc w:val="center"/>
        <w:rPr>
          <w:rFonts w:ascii="Times New Roman" w:hAnsi="Times New Roman" w:cs="Times New Roman"/>
          <w:sz w:val="56"/>
          <w:szCs w:val="56"/>
        </w:rPr>
      </w:pPr>
    </w:p>
    <w:p w14:paraId="6B039038">
      <w:pPr>
        <w:pStyle w:val="12"/>
        <w:rPr>
          <w:rFonts w:ascii="Times New Roman" w:hAnsi="Times New Roman" w:cs="Times New Roman"/>
          <w:sz w:val="56"/>
          <w:szCs w:val="56"/>
        </w:rPr>
      </w:pPr>
    </w:p>
    <w:p w14:paraId="6AC14D74">
      <w:pPr>
        <w:pStyle w:val="12"/>
        <w:jc w:val="center"/>
        <w:rPr>
          <w:rFonts w:ascii="Times New Roman" w:hAnsi="Times New Roman" w:cs="Times New Roman"/>
          <w:sz w:val="32"/>
          <w:szCs w:val="32"/>
        </w:rPr>
      </w:pPr>
    </w:p>
    <w:p w14:paraId="7F93A2E9">
      <w:pPr>
        <w:pStyle w:val="12"/>
        <w:jc w:val="center"/>
        <w:rPr>
          <w:rFonts w:ascii="Times New Roman" w:hAnsi="Times New Roman" w:cs="Times New Roman"/>
          <w:sz w:val="32"/>
          <w:szCs w:val="32"/>
        </w:rPr>
      </w:pPr>
    </w:p>
    <w:p w14:paraId="1281F7FE">
      <w:pPr>
        <w:pStyle w:val="12"/>
        <w:jc w:val="center"/>
        <w:rPr>
          <w:rFonts w:ascii="Times New Roman" w:hAnsi="Times New Roman" w:cs="Times New Roman"/>
          <w:sz w:val="32"/>
          <w:szCs w:val="32"/>
        </w:rPr>
      </w:pPr>
    </w:p>
    <w:p w14:paraId="579ECA5C">
      <w:pPr>
        <w:pStyle w:val="12"/>
        <w:jc w:val="center"/>
        <w:rPr>
          <w:rFonts w:ascii="Times New Roman" w:hAnsi="Times New Roman" w:cs="Times New Roman"/>
          <w:sz w:val="32"/>
          <w:szCs w:val="32"/>
        </w:rPr>
      </w:pPr>
    </w:p>
    <w:p w14:paraId="182F76A1">
      <w:pPr>
        <w:pStyle w:val="12"/>
        <w:jc w:val="center"/>
        <w:rPr>
          <w:rFonts w:ascii="Times New Roman" w:hAnsi="Times New Roman" w:cs="Times New Roman"/>
          <w:sz w:val="32"/>
          <w:szCs w:val="32"/>
        </w:rPr>
      </w:pPr>
    </w:p>
    <w:p w14:paraId="64B0F1FB">
      <w:pPr>
        <w:pStyle w:val="12"/>
        <w:jc w:val="center"/>
        <w:rPr>
          <w:rFonts w:ascii="Times New Roman" w:hAnsi="Times New Roman" w:cs="Times New Roman"/>
          <w:sz w:val="32"/>
          <w:szCs w:val="32"/>
        </w:rPr>
      </w:pPr>
    </w:p>
    <w:p w14:paraId="061D966A">
      <w:pPr>
        <w:pStyle w:val="12"/>
        <w:spacing w:line="540" w:lineRule="exact"/>
        <w:jc w:val="both"/>
        <w:rPr>
          <w:rFonts w:ascii="Times New Roman" w:hAnsi="Times New Roman" w:cs="Times New Roman"/>
          <w:sz w:val="56"/>
          <w:szCs w:val="56"/>
        </w:rPr>
      </w:pPr>
    </w:p>
    <w:p w14:paraId="12296E87">
      <w:pPr>
        <w:rPr>
          <w:rFonts w:ascii="Times New Roman" w:hAnsi="Times New Roman" w:cs="Times New Roman"/>
          <w:b/>
          <w:sz w:val="36"/>
          <w:szCs w:val="28"/>
        </w:rPr>
        <w:sectPr>
          <w:pgSz w:w="11906" w:h="16838"/>
          <w:pgMar w:top="1417" w:right="1588" w:bottom="1417" w:left="1588" w:header="851" w:footer="992" w:gutter="0"/>
          <w:cols w:space="425" w:num="1"/>
          <w:docGrid w:type="lines" w:linePitch="312" w:charSpace="0"/>
        </w:sectPr>
      </w:pPr>
    </w:p>
    <w:p w14:paraId="437B2D5A">
      <w:pPr>
        <w:pStyle w:val="12"/>
        <w:spacing w:line="600" w:lineRule="exact"/>
        <w:jc w:val="both"/>
        <w:rPr>
          <w:rFonts w:ascii="Times New Roman" w:hAnsi="Times New Roman" w:cs="Times New Roman"/>
          <w:b/>
          <w:sz w:val="36"/>
          <w:szCs w:val="28"/>
        </w:rPr>
      </w:pPr>
    </w:p>
    <w:p w14:paraId="312D12D5">
      <w:pPr>
        <w:pStyle w:val="12"/>
        <w:spacing w:line="600" w:lineRule="exact"/>
        <w:jc w:val="center"/>
        <w:rPr>
          <w:rFonts w:ascii="Times New Roman" w:hAnsi="Times New Roman" w:cs="Times New Roman"/>
          <w:bCs/>
          <w:sz w:val="36"/>
          <w:szCs w:val="28"/>
        </w:rPr>
      </w:pPr>
      <w:r>
        <w:rPr>
          <w:rFonts w:ascii="Times New Roman" w:hAnsi="Times New Roman" w:cs="Times New Roman"/>
          <w:bCs/>
          <w:sz w:val="36"/>
          <w:szCs w:val="28"/>
        </w:rPr>
        <w:t>目  录</w:t>
      </w:r>
    </w:p>
    <w:p w14:paraId="2670265A">
      <w:pPr>
        <w:pStyle w:val="12"/>
        <w:spacing w:line="600" w:lineRule="exact"/>
        <w:jc w:val="center"/>
        <w:rPr>
          <w:rFonts w:ascii="Times New Roman" w:hAnsi="Times New Roman" w:cs="Times New Roman"/>
          <w:b/>
          <w:sz w:val="36"/>
          <w:szCs w:val="28"/>
        </w:rPr>
      </w:pPr>
    </w:p>
    <w:p w14:paraId="687FABB3">
      <w:pPr>
        <w:pStyle w:val="12"/>
        <w:spacing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第一部分 </w:t>
      </w:r>
      <w:r>
        <w:rPr>
          <w:rFonts w:hint="eastAsia" w:ascii="Times New Roman" w:hAnsi="Times New Roman" w:cs="Times New Roman"/>
          <w:bCs/>
          <w:sz w:val="32"/>
          <w:szCs w:val="32"/>
          <w:lang w:eastAsia="zh-CN"/>
        </w:rPr>
        <w:t>湖南省知识产权保护中心</w:t>
      </w:r>
      <w:r>
        <w:rPr>
          <w:rFonts w:ascii="Times New Roman" w:hAnsi="Times New Roman" w:cs="Times New Roman"/>
          <w:bCs/>
          <w:sz w:val="32"/>
          <w:szCs w:val="32"/>
        </w:rPr>
        <w:t>概况</w:t>
      </w:r>
    </w:p>
    <w:p w14:paraId="045DF129">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职责</w:t>
      </w:r>
    </w:p>
    <w:p w14:paraId="4C97D184">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二、机构设置及决算单位构成</w:t>
      </w:r>
    </w:p>
    <w:p w14:paraId="73CCDEB3">
      <w:pPr>
        <w:pStyle w:val="12"/>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第二部分 </w:t>
      </w:r>
      <w:r>
        <w:rPr>
          <w:rFonts w:hint="eastAsia" w:ascii="Times New Roman" w:hAnsi="Times New Roman" w:cs="Times New Roman"/>
          <w:bCs/>
          <w:sz w:val="32"/>
          <w:szCs w:val="32"/>
          <w:lang w:eastAsia="zh-CN"/>
        </w:rPr>
        <w:t>单位</w:t>
      </w:r>
      <w:r>
        <w:rPr>
          <w:rFonts w:ascii="Times New Roman" w:hAnsi="Times New Roman" w:cs="Times New Roman"/>
          <w:bCs/>
          <w:sz w:val="32"/>
          <w:szCs w:val="32"/>
        </w:rPr>
        <w:t>决算表</w:t>
      </w:r>
    </w:p>
    <w:p w14:paraId="6A83B998">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一、收入支出决算总表</w:t>
      </w:r>
    </w:p>
    <w:p w14:paraId="45EBE706">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二、收入决算表</w:t>
      </w:r>
    </w:p>
    <w:p w14:paraId="19AEE4DD">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三、支出决算表</w:t>
      </w:r>
    </w:p>
    <w:p w14:paraId="0CA29DC0">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四、财政拨款收入支出决算总表</w:t>
      </w:r>
    </w:p>
    <w:p w14:paraId="5F343F45">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五、一般公共预算财政拨款支出决算表</w:t>
      </w:r>
    </w:p>
    <w:p w14:paraId="7C0A4BB6">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六、一般公共预算财政拨款基本支出决算明细表</w:t>
      </w:r>
    </w:p>
    <w:p w14:paraId="0018F3CA">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七、政府性基金预算财政拨款收入支出决算表</w:t>
      </w:r>
    </w:p>
    <w:p w14:paraId="0A317E3D">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八、国有资本经营预算财政拨款支出决算表</w:t>
      </w:r>
    </w:p>
    <w:p w14:paraId="1DD29814">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九、财政拨款“三公”经费支出决算表</w:t>
      </w:r>
    </w:p>
    <w:p w14:paraId="6B7C40DD">
      <w:pPr>
        <w:pStyle w:val="12"/>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第三部分 </w:t>
      </w:r>
      <w:r>
        <w:rPr>
          <w:rFonts w:hint="eastAsia" w:ascii="Times New Roman" w:hAnsi="Times New Roman" w:cs="Times New Roman"/>
          <w:bCs/>
          <w:sz w:val="32"/>
          <w:szCs w:val="32"/>
          <w:lang w:eastAsia="zh-CN"/>
        </w:rPr>
        <w:t>单位</w:t>
      </w:r>
      <w:r>
        <w:rPr>
          <w:rFonts w:ascii="Times New Roman" w:hAnsi="Times New Roman" w:cs="Times New Roman"/>
          <w:bCs/>
          <w:sz w:val="32"/>
          <w:szCs w:val="32"/>
        </w:rPr>
        <w:t>决算情况说明</w:t>
      </w:r>
    </w:p>
    <w:p w14:paraId="7D895CF2">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14:paraId="47C84820">
      <w:pPr>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14:paraId="6F9DD7A1">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三、支出决算情况说明</w:t>
      </w:r>
    </w:p>
    <w:p w14:paraId="650487F9">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四、财政拨款收入支出决算总体情况说明</w:t>
      </w:r>
    </w:p>
    <w:p w14:paraId="5B59CA79">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五、一般公共预算财政拨款支出决算情况说明</w:t>
      </w:r>
    </w:p>
    <w:p w14:paraId="79003940">
      <w:pPr>
        <w:autoSpaceDE w:val="0"/>
        <w:autoSpaceDN w:val="0"/>
        <w:adjustRightInd w:val="0"/>
        <w:spacing w:line="600" w:lineRule="exact"/>
        <w:jc w:val="left"/>
        <w:rPr>
          <w:rFonts w:ascii="Times New Roman" w:hAnsi="Times New Roman" w:eastAsia="仿宋_GB2312" w:cs="Times New Roman"/>
          <w:color w:val="000000"/>
          <w:kern w:val="0"/>
          <w:sz w:val="32"/>
          <w:szCs w:val="32"/>
        </w:rPr>
        <w:sectPr>
          <w:footerReference r:id="rId3" w:type="default"/>
          <w:pgSz w:w="11906" w:h="16838"/>
          <w:pgMar w:top="1417" w:right="1588" w:bottom="1417" w:left="1588" w:header="851" w:footer="992" w:gutter="0"/>
          <w:pgNumType w:start="1"/>
          <w:cols w:space="425" w:num="1"/>
          <w:docGrid w:type="lines" w:linePitch="312" w:charSpace="0"/>
        </w:sectPr>
      </w:pPr>
    </w:p>
    <w:p w14:paraId="47AE0A09">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六、一般公共预算财政拨款基本支出决算情况说明</w:t>
      </w:r>
    </w:p>
    <w:p w14:paraId="65EA6553">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七、财政拨款“三公”经费支出决算情况说明</w:t>
      </w:r>
    </w:p>
    <w:p w14:paraId="68C13A40">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八、政府性基金预算收入支出决算情况</w:t>
      </w:r>
    </w:p>
    <w:p w14:paraId="11BABB84">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九、关于机关运行经费支出说明</w:t>
      </w:r>
    </w:p>
    <w:p w14:paraId="05D11C6E">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十、一般性支出情况说明</w:t>
      </w:r>
    </w:p>
    <w:p w14:paraId="5238AFFC">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十一、关于政府采购支出说明</w:t>
      </w:r>
    </w:p>
    <w:p w14:paraId="162BE94D">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十二、关于国有资产占用情况说明</w:t>
      </w:r>
    </w:p>
    <w:p w14:paraId="3FA6FC79">
      <w:pPr>
        <w:pStyle w:val="12"/>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十三、关于2024年度预算绩效管理情况的说明</w:t>
      </w:r>
    </w:p>
    <w:p w14:paraId="16FDC09D">
      <w:pPr>
        <w:pStyle w:val="12"/>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第四部分 名词解释</w:t>
      </w:r>
    </w:p>
    <w:p w14:paraId="15F88748">
      <w:pPr>
        <w:pStyle w:val="12"/>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第五部分 附件</w:t>
      </w:r>
    </w:p>
    <w:p w14:paraId="281AB137">
      <w:pPr>
        <w:pStyle w:val="12"/>
        <w:spacing w:line="600" w:lineRule="exact"/>
        <w:rPr>
          <w:rFonts w:ascii="Times New Roman" w:hAnsi="Times New Roman" w:cs="Times New Roman"/>
          <w:bCs/>
          <w:sz w:val="28"/>
          <w:szCs w:val="28"/>
        </w:rPr>
      </w:pPr>
    </w:p>
    <w:p w14:paraId="711D2E10">
      <w:pPr>
        <w:jc w:val="center"/>
        <w:rPr>
          <w:rFonts w:ascii="Times New Roman" w:hAnsi="Times New Roman" w:cs="Times New Roman"/>
          <w:sz w:val="72"/>
          <w:szCs w:val="72"/>
        </w:rPr>
      </w:pPr>
    </w:p>
    <w:p w14:paraId="529C3DAF">
      <w:pPr>
        <w:jc w:val="center"/>
        <w:rPr>
          <w:rFonts w:ascii="Times New Roman" w:hAnsi="Times New Roman" w:cs="Times New Roman"/>
          <w:sz w:val="72"/>
          <w:szCs w:val="72"/>
        </w:rPr>
      </w:pPr>
    </w:p>
    <w:p w14:paraId="2911F8CE">
      <w:pPr>
        <w:jc w:val="center"/>
        <w:rPr>
          <w:rFonts w:ascii="Times New Roman" w:hAnsi="Times New Roman" w:cs="Times New Roman"/>
          <w:sz w:val="72"/>
          <w:szCs w:val="72"/>
        </w:rPr>
      </w:pPr>
    </w:p>
    <w:p w14:paraId="73F59BA6">
      <w:pPr>
        <w:pStyle w:val="2"/>
        <w:rPr>
          <w:rFonts w:ascii="Times New Roman" w:hAnsi="Times New Roman" w:cs="Times New Roman"/>
        </w:rPr>
        <w:sectPr>
          <w:footerReference r:id="rId4" w:type="default"/>
          <w:pgSz w:w="11906" w:h="16838"/>
          <w:pgMar w:top="1417" w:right="1588" w:bottom="1417" w:left="1588" w:header="851" w:footer="992" w:gutter="0"/>
          <w:pgNumType w:start="1"/>
          <w:cols w:space="425" w:num="1"/>
          <w:docGrid w:type="lines" w:linePitch="312" w:charSpace="0"/>
        </w:sectPr>
      </w:pPr>
    </w:p>
    <w:p w14:paraId="36C22894">
      <w:pPr>
        <w:rPr>
          <w:rFonts w:ascii="Times New Roman" w:hAnsi="Times New Roman" w:eastAsia="方正小标宋_GBK" w:cs="Times New Roman"/>
          <w:sz w:val="72"/>
          <w:szCs w:val="72"/>
        </w:rPr>
      </w:pPr>
    </w:p>
    <w:p w14:paraId="56F763CE">
      <w:pPr>
        <w:pStyle w:val="12"/>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第一部分</w:t>
      </w:r>
    </w:p>
    <w:p w14:paraId="74B21652">
      <w:pPr>
        <w:pStyle w:val="12"/>
        <w:spacing w:line="360" w:lineRule="auto"/>
        <w:jc w:val="center"/>
        <w:rPr>
          <w:rFonts w:ascii="Times New Roman" w:hAnsi="Times New Roman" w:eastAsia="方正小标宋_GBK" w:cs="Times New Roman"/>
          <w:sz w:val="52"/>
          <w:szCs w:val="52"/>
        </w:rPr>
      </w:pPr>
      <w:r>
        <w:rPr>
          <w:rFonts w:hint="eastAsia" w:ascii="Times New Roman" w:hAnsi="Times New Roman" w:eastAsia="方正小标宋_GBK" w:cs="Times New Roman"/>
          <w:sz w:val="52"/>
          <w:szCs w:val="52"/>
          <w:lang w:eastAsia="zh-CN"/>
        </w:rPr>
        <w:t>湖南省知识产权保护中心</w:t>
      </w:r>
      <w:r>
        <w:rPr>
          <w:rFonts w:ascii="Times New Roman" w:hAnsi="Times New Roman" w:eastAsia="方正小标宋_GBK" w:cs="Times New Roman"/>
          <w:sz w:val="52"/>
          <w:szCs w:val="52"/>
        </w:rPr>
        <w:t>概况</w:t>
      </w:r>
    </w:p>
    <w:p w14:paraId="5895D93F">
      <w:pPr>
        <w:pStyle w:val="3"/>
        <w:ind w:left="0" w:leftChars="0" w:firstLine="0" w:firstLineChars="0"/>
        <w:rPr>
          <w:rFonts w:ascii="Times New Roman" w:hAnsi="Times New Roman" w:cs="Times New Roman"/>
        </w:rPr>
      </w:pPr>
    </w:p>
    <w:p w14:paraId="2FC3D61B">
      <w:pPr>
        <w:pStyle w:val="13"/>
        <w:numPr>
          <w:ilvl w:val="0"/>
          <w:numId w:val="1"/>
        </w:numPr>
        <w:spacing w:line="600" w:lineRule="exact"/>
        <w:ind w:firstLine="0" w:firstLineChars="0"/>
        <w:jc w:val="left"/>
        <w:rPr>
          <w:rFonts w:ascii="Times New Roman" w:hAnsi="Times New Roman" w:eastAsia="黑体" w:cs="Times New Roman"/>
          <w:sz w:val="32"/>
          <w:szCs w:val="32"/>
        </w:rPr>
      </w:pPr>
      <w:r>
        <w:rPr>
          <w:rFonts w:hint="eastAsia" w:ascii="Times New Roman" w:hAnsi="Times New Roman" w:eastAsia="黑体" w:cs="Times New Roman"/>
          <w:sz w:val="32"/>
          <w:szCs w:val="32"/>
          <w:lang w:eastAsia="zh-CN"/>
        </w:rPr>
        <w:t>单位</w:t>
      </w:r>
      <w:r>
        <w:rPr>
          <w:rFonts w:ascii="Times New Roman" w:hAnsi="Times New Roman" w:eastAsia="黑体" w:cs="Times New Roman"/>
          <w:sz w:val="32"/>
          <w:szCs w:val="32"/>
        </w:rPr>
        <w:t>职责</w:t>
      </w:r>
    </w:p>
    <w:p w14:paraId="2601D5B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Times New Roman" w:hAnsi="Times New Roman" w:eastAsia="黑体" w:cs="Times New Roman"/>
          <w:sz w:val="32"/>
          <w:szCs w:val="32"/>
        </w:rPr>
      </w:pPr>
      <w:r>
        <w:rPr>
          <w:rFonts w:hint="eastAsia" w:ascii="Times New Roman" w:hAnsi="Times New Roman" w:eastAsia="仿宋_GB2312" w:cs="Times New Roman"/>
          <w:sz w:val="32"/>
          <w:szCs w:val="32"/>
          <w:u w:val="none"/>
          <w:lang w:eastAsia="zh-CN"/>
        </w:rPr>
        <w:t>湖南省知识产权保护中心贯彻落实党中央和省委关于知识产权保护、促进、运用工作的方针政策和决策部署。主要职责是：</w:t>
      </w:r>
    </w:p>
    <w:p w14:paraId="1C3C876F">
      <w:pPr>
        <w:spacing w:line="600" w:lineRule="exact"/>
        <w:ind w:firstLine="800" w:firstLineChars="25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hint="eastAsia" w:ascii="Times New Roman" w:hAnsi="Times New Roman" w:eastAsia="仿宋_GB2312" w:cs="Times New Roman"/>
          <w:sz w:val="32"/>
          <w:szCs w:val="32"/>
        </w:rPr>
        <w:t>承担全省先进制造和新材料产业等技术领域专利申请快速审查、快速确权、快速维权工作。</w:t>
      </w:r>
    </w:p>
    <w:p w14:paraId="1C42F371">
      <w:pPr>
        <w:spacing w:line="600" w:lineRule="exact"/>
        <w:ind w:firstLine="800" w:firstLineChars="250"/>
        <w:jc w:val="both"/>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（二）</w:t>
      </w:r>
      <w:r>
        <w:rPr>
          <w:rFonts w:hint="eastAsia" w:ascii="Times New Roman" w:hAnsi="Times New Roman" w:eastAsia="仿宋_GB2312" w:cs="Times New Roman"/>
          <w:sz w:val="32"/>
          <w:szCs w:val="32"/>
        </w:rPr>
        <w:t>承担全省知识产权公共服务体系技术指导支持工作；提供知识产权快速协同保护技术支持；开展专利导航，知识产权转化运营、维权援助、鉴定评估等公益性工作。</w:t>
      </w:r>
    </w:p>
    <w:p w14:paraId="61454E65">
      <w:pPr>
        <w:spacing w:line="600" w:lineRule="exact"/>
        <w:ind w:firstLine="800" w:firstLineChars="250"/>
        <w:jc w:val="both"/>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sz w:val="32"/>
          <w:szCs w:val="32"/>
          <w:lang w:val="en-US" w:eastAsia="zh-CN"/>
        </w:rPr>
        <w:t>（三）</w:t>
      </w:r>
      <w:r>
        <w:rPr>
          <w:rFonts w:hint="eastAsia" w:ascii="Times New Roman" w:hAnsi="Times New Roman" w:eastAsia="仿宋_GB2312" w:cs="Times New Roman"/>
          <w:kern w:val="2"/>
          <w:sz w:val="32"/>
          <w:szCs w:val="32"/>
          <w:lang w:val="en-US" w:eastAsia="zh-CN" w:bidi="ar-SA"/>
        </w:rPr>
        <w:t>协助省市场监督管理局开展知识产权保护、促进、运用工作，为相关工作提供技术支撑。</w:t>
      </w:r>
    </w:p>
    <w:p w14:paraId="550A62B8">
      <w:pPr>
        <w:pStyle w:val="2"/>
        <w:keepNext w:val="0"/>
        <w:keepLines w:val="0"/>
        <w:pageBreakBefore w:val="0"/>
        <w:widowControl w:val="0"/>
        <w:kinsoku/>
        <w:wordWrap/>
        <w:overflowPunct/>
        <w:topLinePunct w:val="0"/>
        <w:autoSpaceDE/>
        <w:autoSpaceDN/>
        <w:bidi w:val="0"/>
        <w:adjustRightInd/>
        <w:snapToGrid w:val="0"/>
        <w:spacing w:line="600" w:lineRule="exact"/>
        <w:ind w:firstLine="800" w:firstLineChars="250"/>
        <w:jc w:val="both"/>
        <w:textAlignment w:val="auto"/>
        <w:rPr>
          <w:rFonts w:hint="default"/>
          <w:lang w:val="en-US" w:eastAsia="zh-CN"/>
        </w:rPr>
      </w:pPr>
      <w:r>
        <w:rPr>
          <w:rFonts w:hint="eastAsia" w:ascii="Times New Roman" w:hAnsi="Times New Roman" w:eastAsia="仿宋_GB2312" w:cs="Times New Roman"/>
          <w:kern w:val="2"/>
          <w:sz w:val="32"/>
          <w:szCs w:val="32"/>
          <w:lang w:val="en-US" w:eastAsia="zh-CN" w:bidi="ar-SA"/>
        </w:rPr>
        <w:t>（四）</w:t>
      </w:r>
      <w:r>
        <w:rPr>
          <w:rFonts w:hint="default" w:ascii="Times New Roman" w:hAnsi="Times New Roman" w:eastAsia="仿宋_GB2312" w:cs="Times New Roman"/>
          <w:sz w:val="32"/>
          <w:szCs w:val="32"/>
          <w:u w:val="none"/>
        </w:rPr>
        <w:t>完成国家知识产权局和省市场监督管理局交办的其他任务。</w:t>
      </w:r>
    </w:p>
    <w:p w14:paraId="01BFA31B">
      <w:pPr>
        <w:widowControl/>
        <w:spacing w:line="60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二、机构设置及决算单位构成</w:t>
      </w:r>
    </w:p>
    <w:p w14:paraId="7BFC9135">
      <w:pPr>
        <w:keepNext w:val="0"/>
        <w:keepLines w:val="0"/>
        <w:pageBreakBefore w:val="0"/>
        <w:widowControl/>
        <w:kinsoku/>
        <w:wordWrap/>
        <w:overflowPunct/>
        <w:topLinePunct w:val="0"/>
        <w:autoSpaceDE/>
        <w:autoSpaceDN/>
        <w:bidi w:val="0"/>
        <w:adjustRightInd/>
        <w:snapToGrid/>
        <w:spacing w:line="600" w:lineRule="exact"/>
        <w:ind w:firstLine="800" w:firstLineChars="250"/>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（一）内设机构设置。</w:t>
      </w:r>
      <w:r>
        <w:rPr>
          <w:rFonts w:hint="eastAsia" w:ascii="Times New Roman" w:hAnsi="Times New Roman" w:eastAsia="仿宋_GB2312" w:cs="Times New Roman"/>
          <w:bCs/>
          <w:kern w:val="0"/>
          <w:sz w:val="32"/>
          <w:szCs w:val="32"/>
          <w:lang w:eastAsia="zh-CN"/>
        </w:rPr>
        <w:t>湖南省知识产权保护中心</w:t>
      </w:r>
      <w:r>
        <w:rPr>
          <w:rFonts w:ascii="Times New Roman" w:hAnsi="Times New Roman" w:eastAsia="仿宋_GB2312" w:cs="Times New Roman"/>
          <w:bCs/>
          <w:kern w:val="0"/>
          <w:sz w:val="32"/>
          <w:szCs w:val="32"/>
        </w:rPr>
        <w:t>内设机构包括：</w:t>
      </w:r>
      <w:r>
        <w:rPr>
          <w:rFonts w:hint="eastAsia" w:ascii="Times New Roman" w:hAnsi="Times New Roman" w:eastAsia="仿宋_GB2312" w:cs="Times New Roman"/>
          <w:bCs/>
          <w:kern w:val="0"/>
          <w:sz w:val="32"/>
          <w:szCs w:val="32"/>
        </w:rPr>
        <w:t>综合部、预审一部、预审二部、维权援助部、公共服务部、预警分析部。</w:t>
      </w:r>
    </w:p>
    <w:p w14:paraId="2370EB48">
      <w:pPr>
        <w:keepNext w:val="0"/>
        <w:keepLines w:val="0"/>
        <w:pageBreakBefore w:val="0"/>
        <w:widowControl/>
        <w:kinsoku/>
        <w:wordWrap/>
        <w:overflowPunct/>
        <w:topLinePunct w:val="0"/>
        <w:autoSpaceDE/>
        <w:autoSpaceDN/>
        <w:bidi w:val="0"/>
        <w:adjustRightInd/>
        <w:snapToGrid/>
        <w:spacing w:line="600" w:lineRule="exact"/>
        <w:ind w:firstLine="800" w:firstLineChars="250"/>
        <w:textAlignment w:val="auto"/>
        <w:rPr>
          <w:rFonts w:hint="eastAsia" w:ascii="Times New Roman" w:hAnsi="Times New Roman" w:eastAsia="仿宋_GB2312" w:cs="Times New Roman"/>
          <w:bCs/>
          <w:kern w:val="0"/>
          <w:sz w:val="32"/>
          <w:szCs w:val="32"/>
          <w:lang w:eastAsia="zh-CN"/>
        </w:rPr>
      </w:pPr>
      <w:r>
        <w:rPr>
          <w:rFonts w:ascii="Times New Roman" w:hAnsi="Times New Roman" w:eastAsia="仿宋_GB2312" w:cs="Times New Roman"/>
          <w:bCs/>
          <w:kern w:val="0"/>
          <w:sz w:val="32"/>
          <w:szCs w:val="32"/>
        </w:rPr>
        <w:t>（二）决算单位构成。</w:t>
      </w:r>
      <w:r>
        <w:rPr>
          <w:rFonts w:hint="eastAsia" w:ascii="Times New Roman" w:hAnsi="Times New Roman" w:eastAsia="仿宋_GB2312" w:cs="Times New Roman"/>
          <w:bCs/>
          <w:kern w:val="0"/>
          <w:sz w:val="32"/>
          <w:szCs w:val="32"/>
          <w:lang w:eastAsia="zh-CN"/>
        </w:rPr>
        <w:t>湖南省知识产权保护中心</w:t>
      </w:r>
      <w:r>
        <w:rPr>
          <w:rFonts w:ascii="Times New Roman" w:hAnsi="Times New Roman" w:eastAsia="仿宋_GB2312" w:cs="Times New Roman"/>
          <w:bCs/>
          <w:kern w:val="0"/>
          <w:sz w:val="32"/>
          <w:szCs w:val="32"/>
        </w:rPr>
        <w:t>2024年</w:t>
      </w:r>
      <w:r>
        <w:rPr>
          <w:rFonts w:hint="eastAsia" w:ascii="Times New Roman" w:hAnsi="Times New Roman" w:eastAsia="仿宋_GB2312" w:cs="Times New Roman"/>
          <w:bCs/>
          <w:kern w:val="0"/>
          <w:sz w:val="32"/>
          <w:szCs w:val="32"/>
          <w:lang w:eastAsia="zh-CN"/>
        </w:rPr>
        <w:t>单位</w:t>
      </w:r>
      <w:r>
        <w:rPr>
          <w:rFonts w:ascii="Times New Roman" w:hAnsi="Times New Roman" w:eastAsia="仿宋_GB2312" w:cs="Times New Roman"/>
          <w:bCs/>
          <w:kern w:val="0"/>
          <w:sz w:val="32"/>
          <w:szCs w:val="32"/>
        </w:rPr>
        <w:t>决算汇总公开单位构成包括：</w:t>
      </w:r>
      <w:r>
        <w:rPr>
          <w:rFonts w:hint="eastAsia" w:ascii="Times New Roman" w:hAnsi="Times New Roman" w:eastAsia="仿宋_GB2312" w:cs="Times New Roman"/>
          <w:bCs/>
          <w:kern w:val="0"/>
          <w:sz w:val="32"/>
          <w:szCs w:val="32"/>
          <w:lang w:eastAsia="zh-CN"/>
        </w:rPr>
        <w:t>湖南省知识产权保护中心</w:t>
      </w:r>
      <w:r>
        <w:rPr>
          <w:rFonts w:ascii="Times New Roman" w:hAnsi="Times New Roman" w:eastAsia="仿宋_GB2312" w:cs="Times New Roman"/>
          <w:bCs/>
          <w:kern w:val="0"/>
          <w:sz w:val="32"/>
          <w:szCs w:val="32"/>
        </w:rPr>
        <w:t>本级</w:t>
      </w:r>
      <w:r>
        <w:rPr>
          <w:rFonts w:hint="eastAsia" w:ascii="Times New Roman" w:hAnsi="Times New Roman" w:eastAsia="仿宋_GB2312" w:cs="Times New Roman"/>
          <w:bCs/>
          <w:kern w:val="0"/>
          <w:sz w:val="32"/>
          <w:szCs w:val="32"/>
          <w:lang w:eastAsia="zh-CN"/>
        </w:rPr>
        <w:t>。</w:t>
      </w:r>
    </w:p>
    <w:p w14:paraId="7E127D18">
      <w:pPr>
        <w:jc w:val="both"/>
        <w:rPr>
          <w:rFonts w:ascii="Times New Roman" w:hAnsi="Times New Roman" w:eastAsia="黑体" w:cs="Times New Roman"/>
          <w:sz w:val="28"/>
          <w:szCs w:val="28"/>
        </w:rPr>
      </w:pPr>
    </w:p>
    <w:p w14:paraId="27B87B09">
      <w:pPr>
        <w:pStyle w:val="2"/>
        <w:rPr>
          <w:rFonts w:ascii="Times New Roman" w:hAnsi="Times New Roman" w:cs="Times New Roman"/>
        </w:rPr>
        <w:sectPr>
          <w:footerReference r:id="rId5" w:type="default"/>
          <w:pgSz w:w="11906" w:h="16838"/>
          <w:pgMar w:top="1417" w:right="1588" w:bottom="1417" w:left="1588" w:header="851" w:footer="992" w:gutter="0"/>
          <w:pgNumType w:start="1"/>
          <w:cols w:space="425" w:num="1"/>
          <w:docGrid w:type="lines" w:linePitch="312" w:charSpace="0"/>
        </w:sectPr>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128"/>
        <w:gridCol w:w="899"/>
        <w:gridCol w:w="1354"/>
        <w:gridCol w:w="4826"/>
        <w:gridCol w:w="899"/>
        <w:gridCol w:w="1680"/>
      </w:tblGrid>
      <w:tr w14:paraId="22128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5000" w:type="pct"/>
            <w:gridSpan w:val="6"/>
            <w:tcBorders>
              <w:top w:val="nil"/>
              <w:left w:val="nil"/>
              <w:bottom w:val="nil"/>
              <w:right w:val="nil"/>
            </w:tcBorders>
            <w:shd w:val="clear" w:color="auto" w:fill="auto"/>
            <w:noWrap/>
            <w:vAlign w:val="center"/>
          </w:tcPr>
          <w:p w14:paraId="4ED68CF7">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52"/>
                <w:szCs w:val="52"/>
                <w:u w:val="none"/>
              </w:rPr>
            </w:pPr>
            <w:r>
              <w:rPr>
                <w:rFonts w:hint="eastAsia" w:ascii="方正小标宋_GBK" w:hAnsi="方正小标宋_GBK" w:eastAsia="方正小标宋_GBK" w:cs="方正小标宋_GBK"/>
                <w:i w:val="0"/>
                <w:iCs w:val="0"/>
                <w:color w:val="000000"/>
                <w:kern w:val="0"/>
                <w:sz w:val="52"/>
                <w:szCs w:val="52"/>
                <w:u w:val="none"/>
                <w:lang w:val="en-US" w:eastAsia="zh-CN" w:bidi="ar"/>
              </w:rPr>
              <w:t>第二部分        单位决算表</w:t>
            </w:r>
          </w:p>
        </w:tc>
      </w:tr>
      <w:tr w14:paraId="5710E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000" w:type="pct"/>
            <w:gridSpan w:val="6"/>
            <w:tcBorders>
              <w:top w:val="nil"/>
              <w:left w:val="nil"/>
              <w:bottom w:val="nil"/>
              <w:right w:val="nil"/>
            </w:tcBorders>
            <w:shd w:val="clear" w:color="auto" w:fill="auto"/>
            <w:noWrap/>
            <w:vAlign w:val="center"/>
          </w:tcPr>
          <w:p w14:paraId="4487F8FB">
            <w:pPr>
              <w:keepNext w:val="0"/>
              <w:keepLines w:val="0"/>
              <w:widowControl/>
              <w:suppressLineNumbers w:val="0"/>
              <w:jc w:val="center"/>
              <w:textAlignment w:val="center"/>
              <w:rPr>
                <w:rFonts w:ascii="黑体" w:hAnsi="宋体" w:eastAsia="黑体" w:cs="黑体"/>
                <w:i w:val="0"/>
                <w:iCs w:val="0"/>
                <w:color w:val="000000"/>
                <w:sz w:val="36"/>
                <w:szCs w:val="36"/>
                <w:u w:val="none"/>
              </w:rPr>
            </w:pPr>
            <w:r>
              <w:rPr>
                <w:rFonts w:hint="eastAsia" w:ascii="黑体" w:hAnsi="宋体" w:eastAsia="黑体" w:cs="黑体"/>
                <w:i w:val="0"/>
                <w:iCs w:val="0"/>
                <w:color w:val="000000"/>
                <w:kern w:val="0"/>
                <w:sz w:val="36"/>
                <w:szCs w:val="36"/>
                <w:u w:val="none"/>
                <w:lang w:val="en-US" w:eastAsia="zh-CN" w:bidi="ar"/>
              </w:rPr>
              <w:t>收入支出决算总表</w:t>
            </w:r>
          </w:p>
        </w:tc>
      </w:tr>
      <w:tr w14:paraId="7F91E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734" w:type="pct"/>
            <w:tcBorders>
              <w:top w:val="nil"/>
              <w:left w:val="nil"/>
              <w:bottom w:val="nil"/>
              <w:right w:val="nil"/>
            </w:tcBorders>
            <w:shd w:val="clear" w:color="auto" w:fill="auto"/>
            <w:noWrap/>
            <w:vAlign w:val="center"/>
          </w:tcPr>
          <w:p w14:paraId="1EA664EE">
            <w:pPr>
              <w:rPr>
                <w:rFonts w:hint="eastAsia" w:ascii="仿宋_GB2312" w:hAnsi="宋体" w:eastAsia="仿宋_GB2312" w:cs="仿宋_GB2312"/>
                <w:i w:val="0"/>
                <w:iCs w:val="0"/>
                <w:color w:val="000000"/>
                <w:sz w:val="20"/>
                <w:szCs w:val="20"/>
                <w:u w:val="none"/>
              </w:rPr>
            </w:pPr>
          </w:p>
        </w:tc>
        <w:tc>
          <w:tcPr>
            <w:tcW w:w="304" w:type="pct"/>
            <w:tcBorders>
              <w:top w:val="nil"/>
              <w:left w:val="nil"/>
              <w:bottom w:val="nil"/>
              <w:right w:val="nil"/>
            </w:tcBorders>
            <w:shd w:val="clear" w:color="auto" w:fill="auto"/>
            <w:noWrap/>
            <w:vAlign w:val="center"/>
          </w:tcPr>
          <w:p w14:paraId="0421EFFD">
            <w:pPr>
              <w:rPr>
                <w:rFonts w:hint="eastAsia" w:ascii="仿宋_GB2312" w:hAnsi="宋体" w:eastAsia="仿宋_GB2312" w:cs="仿宋_GB2312"/>
                <w:i w:val="0"/>
                <w:iCs w:val="0"/>
                <w:color w:val="000000"/>
                <w:sz w:val="20"/>
                <w:szCs w:val="20"/>
                <w:u w:val="none"/>
              </w:rPr>
            </w:pPr>
          </w:p>
        </w:tc>
        <w:tc>
          <w:tcPr>
            <w:tcW w:w="457" w:type="pct"/>
            <w:tcBorders>
              <w:top w:val="nil"/>
              <w:left w:val="nil"/>
              <w:bottom w:val="nil"/>
              <w:right w:val="nil"/>
            </w:tcBorders>
            <w:shd w:val="clear" w:color="auto" w:fill="auto"/>
            <w:noWrap/>
            <w:vAlign w:val="center"/>
          </w:tcPr>
          <w:p w14:paraId="6E38CDDB">
            <w:pPr>
              <w:rPr>
                <w:rFonts w:hint="eastAsia" w:ascii="仿宋_GB2312" w:hAnsi="宋体" w:eastAsia="仿宋_GB2312" w:cs="仿宋_GB2312"/>
                <w:i w:val="0"/>
                <w:iCs w:val="0"/>
                <w:color w:val="000000"/>
                <w:sz w:val="20"/>
                <w:szCs w:val="20"/>
                <w:u w:val="none"/>
              </w:rPr>
            </w:pPr>
          </w:p>
        </w:tc>
        <w:tc>
          <w:tcPr>
            <w:tcW w:w="1632" w:type="pct"/>
            <w:tcBorders>
              <w:top w:val="nil"/>
              <w:left w:val="nil"/>
              <w:bottom w:val="nil"/>
              <w:right w:val="nil"/>
            </w:tcBorders>
            <w:shd w:val="clear" w:color="auto" w:fill="auto"/>
            <w:noWrap/>
            <w:vAlign w:val="center"/>
          </w:tcPr>
          <w:p w14:paraId="6E853AA5">
            <w:pPr>
              <w:rPr>
                <w:rFonts w:hint="eastAsia" w:ascii="仿宋_GB2312" w:hAnsi="宋体" w:eastAsia="仿宋_GB2312" w:cs="仿宋_GB2312"/>
                <w:i w:val="0"/>
                <w:iCs w:val="0"/>
                <w:color w:val="000000"/>
                <w:sz w:val="20"/>
                <w:szCs w:val="20"/>
                <w:u w:val="none"/>
              </w:rPr>
            </w:pPr>
          </w:p>
        </w:tc>
        <w:tc>
          <w:tcPr>
            <w:tcW w:w="304" w:type="pct"/>
            <w:tcBorders>
              <w:top w:val="nil"/>
              <w:left w:val="nil"/>
              <w:bottom w:val="nil"/>
              <w:right w:val="nil"/>
            </w:tcBorders>
            <w:shd w:val="clear" w:color="auto" w:fill="auto"/>
            <w:noWrap/>
            <w:vAlign w:val="center"/>
          </w:tcPr>
          <w:p w14:paraId="199BB05C">
            <w:pPr>
              <w:rPr>
                <w:rFonts w:hint="eastAsia" w:ascii="仿宋_GB2312" w:hAnsi="宋体" w:eastAsia="仿宋_GB2312" w:cs="仿宋_GB2312"/>
                <w:i w:val="0"/>
                <w:iCs w:val="0"/>
                <w:color w:val="000000"/>
                <w:sz w:val="20"/>
                <w:szCs w:val="20"/>
                <w:u w:val="none"/>
              </w:rPr>
            </w:pPr>
          </w:p>
        </w:tc>
        <w:tc>
          <w:tcPr>
            <w:tcW w:w="566" w:type="pct"/>
            <w:tcBorders>
              <w:top w:val="nil"/>
              <w:left w:val="nil"/>
              <w:bottom w:val="nil"/>
              <w:right w:val="nil"/>
            </w:tcBorders>
            <w:shd w:val="clear" w:color="auto" w:fill="auto"/>
            <w:noWrap/>
            <w:vAlign w:val="bottom"/>
          </w:tcPr>
          <w:p w14:paraId="4FC66777">
            <w:pPr>
              <w:keepNext w:val="0"/>
              <w:keepLines w:val="0"/>
              <w:widowControl/>
              <w:suppressLineNumbers w:val="0"/>
              <w:jc w:val="left"/>
              <w:textAlignment w:val="bottom"/>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公开01表</w:t>
            </w:r>
          </w:p>
        </w:tc>
      </w:tr>
      <w:tr w14:paraId="4626F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734" w:type="pct"/>
            <w:tcBorders>
              <w:top w:val="nil"/>
              <w:left w:val="nil"/>
              <w:bottom w:val="nil"/>
              <w:right w:val="nil"/>
            </w:tcBorders>
            <w:shd w:val="clear" w:color="auto" w:fill="auto"/>
            <w:noWrap/>
            <w:vAlign w:val="center"/>
          </w:tcPr>
          <w:p w14:paraId="441B01E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单位：湖南省知识产权保护中心</w:t>
            </w:r>
          </w:p>
        </w:tc>
        <w:tc>
          <w:tcPr>
            <w:tcW w:w="304" w:type="pct"/>
            <w:tcBorders>
              <w:top w:val="nil"/>
              <w:left w:val="nil"/>
              <w:bottom w:val="nil"/>
              <w:right w:val="nil"/>
            </w:tcBorders>
            <w:shd w:val="clear" w:color="auto" w:fill="auto"/>
            <w:noWrap/>
            <w:vAlign w:val="center"/>
          </w:tcPr>
          <w:p w14:paraId="61836D5E">
            <w:pPr>
              <w:rPr>
                <w:rFonts w:hint="eastAsia" w:ascii="仿宋_GB2312" w:hAnsi="宋体" w:eastAsia="仿宋_GB2312" w:cs="仿宋_GB2312"/>
                <w:i w:val="0"/>
                <w:iCs w:val="0"/>
                <w:color w:val="000000"/>
                <w:sz w:val="20"/>
                <w:szCs w:val="20"/>
                <w:u w:val="none"/>
              </w:rPr>
            </w:pPr>
          </w:p>
        </w:tc>
        <w:tc>
          <w:tcPr>
            <w:tcW w:w="457" w:type="pct"/>
            <w:tcBorders>
              <w:top w:val="nil"/>
              <w:left w:val="nil"/>
              <w:bottom w:val="nil"/>
              <w:right w:val="nil"/>
            </w:tcBorders>
            <w:shd w:val="clear" w:color="auto" w:fill="auto"/>
            <w:noWrap/>
            <w:vAlign w:val="center"/>
          </w:tcPr>
          <w:p w14:paraId="1178D13E">
            <w:pPr>
              <w:rPr>
                <w:rFonts w:hint="eastAsia" w:ascii="仿宋_GB2312" w:hAnsi="宋体" w:eastAsia="仿宋_GB2312" w:cs="仿宋_GB2312"/>
                <w:i w:val="0"/>
                <w:iCs w:val="0"/>
                <w:color w:val="000000"/>
                <w:sz w:val="20"/>
                <w:szCs w:val="20"/>
                <w:u w:val="none"/>
              </w:rPr>
            </w:pPr>
          </w:p>
        </w:tc>
        <w:tc>
          <w:tcPr>
            <w:tcW w:w="1632" w:type="pct"/>
            <w:tcBorders>
              <w:top w:val="nil"/>
              <w:left w:val="nil"/>
              <w:bottom w:val="nil"/>
              <w:right w:val="nil"/>
            </w:tcBorders>
            <w:shd w:val="clear" w:color="auto" w:fill="auto"/>
            <w:noWrap/>
            <w:vAlign w:val="center"/>
          </w:tcPr>
          <w:p w14:paraId="54C6CC16">
            <w:pPr>
              <w:rPr>
                <w:rFonts w:hint="eastAsia" w:ascii="仿宋_GB2312" w:hAnsi="宋体" w:eastAsia="仿宋_GB2312" w:cs="仿宋_GB2312"/>
                <w:i w:val="0"/>
                <w:iCs w:val="0"/>
                <w:color w:val="000000"/>
                <w:sz w:val="20"/>
                <w:szCs w:val="20"/>
                <w:u w:val="none"/>
              </w:rPr>
            </w:pPr>
          </w:p>
        </w:tc>
        <w:tc>
          <w:tcPr>
            <w:tcW w:w="304" w:type="pct"/>
            <w:tcBorders>
              <w:top w:val="nil"/>
              <w:left w:val="nil"/>
              <w:bottom w:val="nil"/>
              <w:right w:val="nil"/>
            </w:tcBorders>
            <w:shd w:val="clear" w:color="auto" w:fill="auto"/>
            <w:noWrap/>
            <w:vAlign w:val="center"/>
          </w:tcPr>
          <w:p w14:paraId="66E578DA">
            <w:pPr>
              <w:rPr>
                <w:rFonts w:hint="eastAsia" w:ascii="仿宋_GB2312" w:hAnsi="宋体" w:eastAsia="仿宋_GB2312" w:cs="仿宋_GB2312"/>
                <w:i w:val="0"/>
                <w:iCs w:val="0"/>
                <w:color w:val="000000"/>
                <w:sz w:val="20"/>
                <w:szCs w:val="20"/>
                <w:u w:val="none"/>
              </w:rPr>
            </w:pPr>
          </w:p>
        </w:tc>
        <w:tc>
          <w:tcPr>
            <w:tcW w:w="566" w:type="pct"/>
            <w:tcBorders>
              <w:top w:val="nil"/>
              <w:left w:val="nil"/>
              <w:bottom w:val="nil"/>
              <w:right w:val="nil"/>
            </w:tcBorders>
            <w:shd w:val="clear" w:color="auto" w:fill="auto"/>
            <w:noWrap/>
            <w:vAlign w:val="bottom"/>
          </w:tcPr>
          <w:p w14:paraId="69EF6368">
            <w:pPr>
              <w:keepNext w:val="0"/>
              <w:keepLines w:val="0"/>
              <w:widowControl/>
              <w:suppressLineNumbers w:val="0"/>
              <w:jc w:val="left"/>
              <w:textAlignment w:val="bottom"/>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单位：万元</w:t>
            </w:r>
          </w:p>
        </w:tc>
      </w:tr>
      <w:tr w14:paraId="30E1A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49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FC1C5">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收入</w:t>
            </w:r>
          </w:p>
        </w:tc>
        <w:tc>
          <w:tcPr>
            <w:tcW w:w="2503"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C6F4A">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支出</w:t>
            </w:r>
          </w:p>
        </w:tc>
      </w:tr>
      <w:tr w14:paraId="58B30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26EB3">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项目</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8FAA0">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行次</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ABB26">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决算数</w:t>
            </w: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08A67">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项目</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9C9B7">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行次</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F3401">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决算数</w:t>
            </w:r>
          </w:p>
        </w:tc>
      </w:tr>
      <w:tr w14:paraId="722EC3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2A76C">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栏次</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08B75">
            <w:pPr>
              <w:jc w:val="center"/>
              <w:rPr>
                <w:rFonts w:hint="default" w:ascii="Times New Roman" w:hAnsi="Times New Roman" w:eastAsia="宋体" w:cs="Times New Roman"/>
                <w:i w:val="0"/>
                <w:iCs w:val="0"/>
                <w:color w:val="000000"/>
                <w:sz w:val="22"/>
                <w:szCs w:val="22"/>
                <w:u w:val="none"/>
              </w:rPr>
            </w:pP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C2F1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957E8">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栏次</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D38CC">
            <w:pPr>
              <w:jc w:val="center"/>
              <w:rPr>
                <w:rFonts w:hint="default" w:ascii="Times New Roman" w:hAnsi="Times New Roman" w:eastAsia="宋体" w:cs="Times New Roman"/>
                <w:i w:val="0"/>
                <w:iCs w:val="0"/>
                <w:color w:val="000000"/>
                <w:sz w:val="22"/>
                <w:szCs w:val="22"/>
                <w:u w:val="none"/>
              </w:rPr>
            </w:pP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B014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r>
      <w:tr w14:paraId="33673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13FE2">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一、一般公共预算财政拨款收入</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7E19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EA362">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1,679.69</w:t>
            </w: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E7665">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一、一般公共服务支出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D6D6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31</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31126">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1,697.89</w:t>
            </w:r>
          </w:p>
        </w:tc>
      </w:tr>
      <w:tr w14:paraId="1095E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9AFD8">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二、政府性基金预算财政拨款收入</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DD54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60469">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96367">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二、外交支出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504A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666B1">
            <w:pPr>
              <w:jc w:val="right"/>
              <w:rPr>
                <w:rFonts w:hint="default" w:ascii="Times New Roman" w:hAnsi="Times New Roman" w:eastAsia="宋体" w:cs="Times New Roman"/>
                <w:i w:val="0"/>
                <w:iCs w:val="0"/>
                <w:color w:val="000000"/>
                <w:sz w:val="22"/>
                <w:szCs w:val="22"/>
                <w:u w:val="none"/>
              </w:rPr>
            </w:pPr>
          </w:p>
        </w:tc>
      </w:tr>
      <w:tr w14:paraId="5D288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0B307">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三、国有资本经营预算财政拨款收入</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829F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4E2C9">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4D69A">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三、国防支出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6C61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1A314">
            <w:pPr>
              <w:jc w:val="right"/>
              <w:rPr>
                <w:rFonts w:hint="default" w:ascii="Times New Roman" w:hAnsi="Times New Roman" w:eastAsia="宋体" w:cs="Times New Roman"/>
                <w:i w:val="0"/>
                <w:iCs w:val="0"/>
                <w:color w:val="000000"/>
                <w:sz w:val="22"/>
                <w:szCs w:val="22"/>
                <w:u w:val="none"/>
              </w:rPr>
            </w:pPr>
          </w:p>
        </w:tc>
      </w:tr>
      <w:tr w14:paraId="568FB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03E96">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四、上级补助收入</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7BB2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DB9C2">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A27A5">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四、公共安全支出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06E5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34</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B2BD8">
            <w:pPr>
              <w:jc w:val="right"/>
              <w:rPr>
                <w:rFonts w:hint="default" w:ascii="Times New Roman" w:hAnsi="Times New Roman" w:eastAsia="宋体" w:cs="Times New Roman"/>
                <w:i w:val="0"/>
                <w:iCs w:val="0"/>
                <w:color w:val="000000"/>
                <w:sz w:val="22"/>
                <w:szCs w:val="22"/>
                <w:u w:val="none"/>
              </w:rPr>
            </w:pPr>
          </w:p>
        </w:tc>
      </w:tr>
      <w:tr w14:paraId="3E289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43453">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五、事业收入</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6A11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F6918">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20767">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五、教育支出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153A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35</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74FE9">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20.94</w:t>
            </w:r>
          </w:p>
        </w:tc>
      </w:tr>
      <w:tr w14:paraId="67537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FB81D">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六、经营收入</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9C07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672F1">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7EB40">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六、科学技术支出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BF97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36</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2CC01">
            <w:pPr>
              <w:jc w:val="right"/>
              <w:rPr>
                <w:rFonts w:hint="default" w:ascii="Times New Roman" w:hAnsi="Times New Roman" w:eastAsia="宋体" w:cs="Times New Roman"/>
                <w:i w:val="0"/>
                <w:iCs w:val="0"/>
                <w:color w:val="000000"/>
                <w:sz w:val="22"/>
                <w:szCs w:val="22"/>
                <w:u w:val="none"/>
              </w:rPr>
            </w:pPr>
          </w:p>
        </w:tc>
      </w:tr>
      <w:tr w14:paraId="747D7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A741A">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七、附属单位上缴收入</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E950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EFC47">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77927">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七、文化旅游体育与传媒支出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A367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37</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C8BE6">
            <w:pPr>
              <w:jc w:val="right"/>
              <w:rPr>
                <w:rFonts w:hint="default" w:ascii="Times New Roman" w:hAnsi="Times New Roman" w:eastAsia="宋体" w:cs="Times New Roman"/>
                <w:i w:val="0"/>
                <w:iCs w:val="0"/>
                <w:color w:val="000000"/>
                <w:sz w:val="22"/>
                <w:szCs w:val="22"/>
                <w:u w:val="none"/>
              </w:rPr>
            </w:pPr>
          </w:p>
        </w:tc>
      </w:tr>
      <w:tr w14:paraId="2EDE3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2CA82">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八、其他收入</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36CD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15844">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FB1DB">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八、社会保障和就业支出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607C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99D03">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114.20</w:t>
            </w:r>
          </w:p>
        </w:tc>
      </w:tr>
      <w:tr w14:paraId="39739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16173">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F45B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4F4A6">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076A8">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九、卫生健康支出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6141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39</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C018E">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r>
      <w:tr w14:paraId="01C7E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38864">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5AD1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9A4BC">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1EB72">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十、节能环保支出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8963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584C3">
            <w:pPr>
              <w:jc w:val="right"/>
              <w:rPr>
                <w:rFonts w:hint="default" w:ascii="Times New Roman" w:hAnsi="Times New Roman" w:eastAsia="宋体" w:cs="Times New Roman"/>
                <w:i w:val="0"/>
                <w:iCs w:val="0"/>
                <w:color w:val="000000"/>
                <w:sz w:val="22"/>
                <w:szCs w:val="22"/>
                <w:u w:val="none"/>
              </w:rPr>
            </w:pPr>
          </w:p>
        </w:tc>
      </w:tr>
      <w:tr w14:paraId="49267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49BAB">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23BE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5F2C0">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D21E6">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十一、城乡社区支出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6B70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B6612">
            <w:pPr>
              <w:jc w:val="right"/>
              <w:rPr>
                <w:rFonts w:hint="default" w:ascii="Times New Roman" w:hAnsi="Times New Roman" w:eastAsia="宋体" w:cs="Times New Roman"/>
                <w:i w:val="0"/>
                <w:iCs w:val="0"/>
                <w:color w:val="000000"/>
                <w:sz w:val="22"/>
                <w:szCs w:val="22"/>
                <w:u w:val="none"/>
              </w:rPr>
            </w:pPr>
          </w:p>
        </w:tc>
      </w:tr>
      <w:tr w14:paraId="40E5B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C0347">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07E5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A8333">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BB835">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十二、农林水支出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94D7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42</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1C05A">
            <w:pPr>
              <w:jc w:val="right"/>
              <w:rPr>
                <w:rFonts w:hint="default" w:ascii="Times New Roman" w:hAnsi="Times New Roman" w:eastAsia="宋体" w:cs="Times New Roman"/>
                <w:i w:val="0"/>
                <w:iCs w:val="0"/>
                <w:color w:val="000000"/>
                <w:sz w:val="22"/>
                <w:szCs w:val="22"/>
                <w:u w:val="none"/>
              </w:rPr>
            </w:pPr>
          </w:p>
        </w:tc>
      </w:tr>
      <w:tr w14:paraId="2777C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0EB1F">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B6D7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0ADAC">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D5542">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十三、交通运输支出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DB56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43</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E9564">
            <w:pPr>
              <w:jc w:val="right"/>
              <w:rPr>
                <w:rFonts w:hint="default" w:ascii="Times New Roman" w:hAnsi="Times New Roman" w:eastAsia="宋体" w:cs="Times New Roman"/>
                <w:i w:val="0"/>
                <w:iCs w:val="0"/>
                <w:color w:val="000000"/>
                <w:sz w:val="22"/>
                <w:szCs w:val="22"/>
                <w:u w:val="none"/>
              </w:rPr>
            </w:pPr>
          </w:p>
        </w:tc>
      </w:tr>
      <w:tr w14:paraId="127FD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791A7">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667B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E52CE">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E41B1">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十四、资源勘探工业信息等支出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E2E9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44</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2543B">
            <w:pPr>
              <w:jc w:val="right"/>
              <w:rPr>
                <w:rFonts w:hint="default" w:ascii="Times New Roman" w:hAnsi="Times New Roman" w:eastAsia="宋体" w:cs="Times New Roman"/>
                <w:i w:val="0"/>
                <w:iCs w:val="0"/>
                <w:color w:val="000000"/>
                <w:sz w:val="22"/>
                <w:szCs w:val="22"/>
                <w:u w:val="none"/>
              </w:rPr>
            </w:pPr>
          </w:p>
        </w:tc>
      </w:tr>
      <w:tr w14:paraId="40C51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34122">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7824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7AE32">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B849F">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十五、商业服务业等支出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133F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45</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2B185">
            <w:pPr>
              <w:jc w:val="right"/>
              <w:rPr>
                <w:rFonts w:hint="default" w:ascii="Times New Roman" w:hAnsi="Times New Roman" w:eastAsia="宋体" w:cs="Times New Roman"/>
                <w:i w:val="0"/>
                <w:iCs w:val="0"/>
                <w:color w:val="000000"/>
                <w:sz w:val="22"/>
                <w:szCs w:val="22"/>
                <w:u w:val="none"/>
              </w:rPr>
            </w:pPr>
          </w:p>
        </w:tc>
      </w:tr>
      <w:tr w14:paraId="18607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372D0">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75EF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D8668">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52E50">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十六、金融支出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DAA9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46</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846AC">
            <w:pPr>
              <w:jc w:val="right"/>
              <w:rPr>
                <w:rFonts w:hint="default" w:ascii="Times New Roman" w:hAnsi="Times New Roman" w:eastAsia="宋体" w:cs="Times New Roman"/>
                <w:i w:val="0"/>
                <w:iCs w:val="0"/>
                <w:color w:val="000000"/>
                <w:sz w:val="22"/>
                <w:szCs w:val="22"/>
                <w:u w:val="none"/>
              </w:rPr>
            </w:pPr>
          </w:p>
        </w:tc>
      </w:tr>
      <w:tr w14:paraId="1A99D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176CC">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9605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6E87B">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0852F">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十七、援助其他地区支出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4498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47</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357BF">
            <w:pPr>
              <w:jc w:val="right"/>
              <w:rPr>
                <w:rFonts w:hint="default" w:ascii="Times New Roman" w:hAnsi="Times New Roman" w:eastAsia="宋体" w:cs="Times New Roman"/>
                <w:i w:val="0"/>
                <w:iCs w:val="0"/>
                <w:color w:val="000000"/>
                <w:sz w:val="22"/>
                <w:szCs w:val="22"/>
                <w:u w:val="none"/>
              </w:rPr>
            </w:pPr>
          </w:p>
        </w:tc>
      </w:tr>
      <w:tr w14:paraId="10D42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A9BB1">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6FEB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63682">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A08ED">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十八、自然资源海洋气象等支出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B7D5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48</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EC6B4">
            <w:pPr>
              <w:jc w:val="right"/>
              <w:rPr>
                <w:rFonts w:hint="default" w:ascii="Times New Roman" w:hAnsi="Times New Roman" w:eastAsia="宋体" w:cs="Times New Roman"/>
                <w:i w:val="0"/>
                <w:iCs w:val="0"/>
                <w:color w:val="000000"/>
                <w:sz w:val="22"/>
                <w:szCs w:val="22"/>
                <w:u w:val="none"/>
              </w:rPr>
            </w:pPr>
          </w:p>
        </w:tc>
      </w:tr>
      <w:tr w14:paraId="77B62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3B050">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CD83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88DC0">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E339F">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十九、住房保障支出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32A8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49</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67D48">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r>
      <w:tr w14:paraId="4F768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79A7C">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6A9F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1F0BC">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37824">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二十、粮油物资储备支出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B87A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55CC7">
            <w:pPr>
              <w:jc w:val="right"/>
              <w:rPr>
                <w:rFonts w:hint="default" w:ascii="Times New Roman" w:hAnsi="Times New Roman" w:eastAsia="宋体" w:cs="Times New Roman"/>
                <w:i w:val="0"/>
                <w:iCs w:val="0"/>
                <w:color w:val="000000"/>
                <w:sz w:val="22"/>
                <w:szCs w:val="22"/>
                <w:u w:val="none"/>
              </w:rPr>
            </w:pPr>
          </w:p>
        </w:tc>
      </w:tr>
      <w:tr w14:paraId="3B4D4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F4823">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26B6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6FD18">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53FFB">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二十一、国有资本经营预算支出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C67C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51</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14C38">
            <w:pPr>
              <w:jc w:val="right"/>
              <w:rPr>
                <w:rFonts w:hint="default" w:ascii="Times New Roman" w:hAnsi="Times New Roman" w:eastAsia="宋体" w:cs="Times New Roman"/>
                <w:i w:val="0"/>
                <w:iCs w:val="0"/>
                <w:color w:val="000000"/>
                <w:sz w:val="22"/>
                <w:szCs w:val="22"/>
                <w:u w:val="none"/>
              </w:rPr>
            </w:pPr>
          </w:p>
        </w:tc>
      </w:tr>
      <w:tr w14:paraId="61B90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89A87">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3036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05CE2">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4A54E">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二十二、灾害防治及应急管理支出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F410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0005F">
            <w:pPr>
              <w:jc w:val="right"/>
              <w:rPr>
                <w:rFonts w:hint="default" w:ascii="Times New Roman" w:hAnsi="Times New Roman" w:eastAsia="宋体" w:cs="Times New Roman"/>
                <w:i w:val="0"/>
                <w:iCs w:val="0"/>
                <w:color w:val="000000"/>
                <w:sz w:val="22"/>
                <w:szCs w:val="22"/>
                <w:u w:val="none"/>
              </w:rPr>
            </w:pPr>
          </w:p>
        </w:tc>
      </w:tr>
      <w:tr w14:paraId="4198F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552FC">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E648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D9304">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6B718">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二十三、其他支出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3C4D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53</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309ED">
            <w:pPr>
              <w:jc w:val="right"/>
              <w:rPr>
                <w:rFonts w:hint="default" w:ascii="Times New Roman" w:hAnsi="Times New Roman" w:eastAsia="宋体" w:cs="Times New Roman"/>
                <w:i w:val="0"/>
                <w:iCs w:val="0"/>
                <w:color w:val="000000"/>
                <w:sz w:val="22"/>
                <w:szCs w:val="22"/>
                <w:u w:val="none"/>
              </w:rPr>
            </w:pPr>
          </w:p>
        </w:tc>
      </w:tr>
      <w:tr w14:paraId="1ABD4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510D9">
            <w:pPr>
              <w:jc w:val="center"/>
              <w:rPr>
                <w:rFonts w:hint="eastAsia" w:ascii="仿宋_GB2312" w:hAnsi="宋体" w:eastAsia="仿宋_GB2312" w:cs="仿宋_GB2312"/>
                <w:b/>
                <w:bCs/>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7340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CDAED">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3202E">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二十四、债务还本支出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08BB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54</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C9C13">
            <w:pPr>
              <w:jc w:val="right"/>
              <w:rPr>
                <w:rFonts w:hint="default" w:ascii="Times New Roman" w:hAnsi="Times New Roman" w:eastAsia="宋体" w:cs="Times New Roman"/>
                <w:i w:val="0"/>
                <w:iCs w:val="0"/>
                <w:color w:val="000000"/>
                <w:sz w:val="22"/>
                <w:szCs w:val="22"/>
                <w:u w:val="none"/>
              </w:rPr>
            </w:pPr>
          </w:p>
        </w:tc>
      </w:tr>
      <w:tr w14:paraId="58AFF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4BB7C">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4E2D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28B2E">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15616">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二十五、债务付息支出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3FA3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55</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14C87">
            <w:pPr>
              <w:jc w:val="right"/>
              <w:rPr>
                <w:rFonts w:hint="default" w:ascii="Times New Roman" w:hAnsi="Times New Roman" w:eastAsia="宋体" w:cs="Times New Roman"/>
                <w:i w:val="0"/>
                <w:iCs w:val="0"/>
                <w:color w:val="000000"/>
                <w:sz w:val="22"/>
                <w:szCs w:val="22"/>
                <w:u w:val="none"/>
              </w:rPr>
            </w:pPr>
          </w:p>
        </w:tc>
      </w:tr>
      <w:tr w14:paraId="6152E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67825">
            <w:pPr>
              <w:jc w:val="left"/>
              <w:rPr>
                <w:rFonts w:hint="eastAsia" w:ascii="仿宋_GB2312" w:hAnsi="宋体" w:eastAsia="仿宋_GB2312" w:cs="仿宋_GB2312"/>
                <w:i w:val="0"/>
                <w:iCs w:val="0"/>
                <w:color w:val="000000"/>
                <w:sz w:val="22"/>
                <w:szCs w:val="22"/>
                <w:u w:val="none"/>
              </w:rPr>
            </w:pP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102A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69FAB">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10BD0">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二十六、抗疫特别国债安排的支出</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4A03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56</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4E32F">
            <w:pPr>
              <w:jc w:val="right"/>
              <w:rPr>
                <w:rFonts w:hint="default" w:ascii="Times New Roman" w:hAnsi="Times New Roman" w:eastAsia="宋体" w:cs="Times New Roman"/>
                <w:i w:val="0"/>
                <w:iCs w:val="0"/>
                <w:color w:val="000000"/>
                <w:sz w:val="22"/>
                <w:szCs w:val="22"/>
                <w:u w:val="none"/>
              </w:rPr>
            </w:pPr>
          </w:p>
        </w:tc>
      </w:tr>
      <w:tr w14:paraId="0D954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A8C9D">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本年收入合计</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F919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27</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39D25">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1,679.69</w:t>
            </w: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E7E08">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本年支出合计</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F768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57</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8CF9E">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1,985.24</w:t>
            </w:r>
          </w:p>
        </w:tc>
      </w:tr>
      <w:tr w14:paraId="09380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BDC1B">
            <w:pPr>
              <w:keepNext w:val="0"/>
              <w:keepLines w:val="0"/>
              <w:widowControl/>
              <w:suppressLineNumbers w:val="0"/>
              <w:ind w:firstLine="440" w:firstLineChars="20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使用非财政拨款结余（含专用结余）</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34FB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DD376">
            <w:pPr>
              <w:jc w:val="right"/>
              <w:rPr>
                <w:rFonts w:hint="default" w:ascii="Times New Roman" w:hAnsi="Times New Roman" w:eastAsia="宋体" w:cs="Times New Roman"/>
                <w:i w:val="0"/>
                <w:iCs w:val="0"/>
                <w:color w:val="000000"/>
                <w:sz w:val="22"/>
                <w:szCs w:val="22"/>
                <w:u w:val="none"/>
              </w:rPr>
            </w:pP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82206">
            <w:pPr>
              <w:keepNext w:val="0"/>
              <w:keepLines w:val="0"/>
              <w:widowControl/>
              <w:suppressLineNumbers w:val="0"/>
              <w:ind w:firstLine="1760" w:firstLineChars="800"/>
              <w:jc w:val="both"/>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结余分配</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4015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58</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2389C">
            <w:pPr>
              <w:jc w:val="right"/>
              <w:rPr>
                <w:rFonts w:hint="default" w:ascii="Times New Roman" w:hAnsi="Times New Roman" w:eastAsia="宋体" w:cs="Times New Roman"/>
                <w:i w:val="0"/>
                <w:iCs w:val="0"/>
                <w:color w:val="000000"/>
                <w:sz w:val="22"/>
                <w:szCs w:val="22"/>
                <w:u w:val="none"/>
              </w:rPr>
            </w:pPr>
          </w:p>
        </w:tc>
      </w:tr>
      <w:tr w14:paraId="60013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8EF4E">
            <w:pPr>
              <w:keepNext w:val="0"/>
              <w:keepLines w:val="0"/>
              <w:widowControl/>
              <w:suppressLineNumbers w:val="0"/>
              <w:ind w:firstLine="880" w:firstLineChars="40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年初结转和结余</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A294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E8A13">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718.47</w:t>
            </w: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5C191">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 xml:space="preserve">    年末结转和结余</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3704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59</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9F632">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412.91</w:t>
            </w:r>
          </w:p>
        </w:tc>
      </w:tr>
      <w:tr w14:paraId="1D381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E2094">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总计</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4793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98110">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2,398.16</w:t>
            </w:r>
          </w:p>
        </w:tc>
        <w:tc>
          <w:tcPr>
            <w:tcW w:w="16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2F1A7">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总计</w:t>
            </w:r>
          </w:p>
        </w:tc>
        <w:tc>
          <w:tcPr>
            <w:tcW w:w="3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512B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w:t>
            </w: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D3AF3">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2,398.16</w:t>
            </w:r>
          </w:p>
        </w:tc>
      </w:tr>
      <w:tr w14:paraId="583E7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6"/>
            <w:tcBorders>
              <w:top w:val="nil"/>
              <w:left w:val="nil"/>
              <w:bottom w:val="nil"/>
              <w:right w:val="nil"/>
            </w:tcBorders>
            <w:shd w:val="clear" w:color="auto" w:fill="auto"/>
            <w:noWrap/>
            <w:vAlign w:val="center"/>
          </w:tcPr>
          <w:p w14:paraId="211C3A13">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p>
        </w:tc>
      </w:tr>
      <w:tr w14:paraId="38311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6"/>
            <w:tcBorders>
              <w:top w:val="nil"/>
              <w:left w:val="nil"/>
              <w:bottom w:val="nil"/>
              <w:right w:val="nil"/>
            </w:tcBorders>
            <w:shd w:val="clear" w:color="auto" w:fill="auto"/>
            <w:noWrap/>
            <w:vAlign w:val="center"/>
          </w:tcPr>
          <w:p w14:paraId="6F0DDE22">
            <w:pPr>
              <w:keepNext w:val="0"/>
              <w:keepLines w:val="0"/>
              <w:widowControl/>
              <w:suppressLineNumbers w:val="0"/>
              <w:ind w:firstLine="240" w:firstLineChars="100"/>
              <w:jc w:val="left"/>
              <w:textAlignment w:val="center"/>
              <w:rPr>
                <w:rFonts w:hint="eastAsia" w:ascii="仿宋_GB2312" w:hAnsi="宋体" w:eastAsia="仿宋_GB2312" w:cs="仿宋_GB2312"/>
                <w:i w:val="0"/>
                <w:iCs w:val="0"/>
                <w:color w:val="000000"/>
                <w:sz w:val="22"/>
                <w:szCs w:val="22"/>
                <w:u w:val="none"/>
              </w:rPr>
            </w:pPr>
            <w:r>
              <w:rPr>
                <w:rFonts w:ascii="Times New Roman" w:hAnsi="Times New Roman" w:eastAsia="仿宋_GB2312" w:cs="Times New Roman"/>
                <w:color w:val="000000"/>
                <w:kern w:val="0"/>
                <w:sz w:val="24"/>
                <w:szCs w:val="24"/>
                <w:lang w:bidi="ar"/>
              </w:rPr>
              <w:t>注：1.本表反映部门本年度的总收支和年末结转结余情况。</w:t>
            </w:r>
            <w:r>
              <w:rPr>
                <w:rFonts w:ascii="Times New Roman" w:hAnsi="Times New Roman" w:eastAsia="仿宋_GB2312" w:cs="Times New Roman"/>
                <w:color w:val="000000"/>
                <w:kern w:val="0"/>
                <w:sz w:val="24"/>
                <w:szCs w:val="24"/>
                <w:lang w:bidi="ar"/>
              </w:rPr>
              <w:br w:type="textWrapping"/>
            </w:r>
            <w:r>
              <w:rPr>
                <w:rFonts w:ascii="Times New Roman" w:hAnsi="Times New Roman" w:eastAsia="仿宋_GB2312" w:cs="Times New Roman"/>
                <w:color w:val="000000"/>
                <w:kern w:val="0"/>
                <w:sz w:val="24"/>
                <w:szCs w:val="24"/>
                <w:lang w:bidi="ar"/>
              </w:rPr>
              <w:t xml:space="preserve">   </w:t>
            </w:r>
            <w:r>
              <w:rPr>
                <w:rFonts w:hint="eastAsia" w:ascii="Times New Roman" w:hAnsi="Times New Roman" w:eastAsia="仿宋_GB2312" w:cs="Times New Roman"/>
                <w:color w:val="000000"/>
                <w:kern w:val="0"/>
                <w:sz w:val="24"/>
                <w:szCs w:val="24"/>
                <w:lang w:val="en-US" w:eastAsia="zh-CN" w:bidi="ar"/>
              </w:rPr>
              <w:t xml:space="preserve">  </w:t>
            </w:r>
            <w:r>
              <w:rPr>
                <w:rFonts w:ascii="Times New Roman" w:hAnsi="Times New Roman" w:eastAsia="仿宋_GB2312" w:cs="Times New Roman"/>
                <w:color w:val="000000"/>
                <w:kern w:val="0"/>
                <w:sz w:val="24"/>
                <w:szCs w:val="24"/>
                <w:lang w:bidi="ar"/>
              </w:rPr>
              <w:t xml:space="preserve"> 2.本套报表金额单位转换时可能存在尾数误差。</w:t>
            </w:r>
          </w:p>
        </w:tc>
      </w:tr>
    </w:tbl>
    <w:p w14:paraId="1AB7F7C5">
      <w:pPr>
        <w:rPr>
          <w:rFonts w:ascii="Times New Roman" w:hAnsi="Times New Roman" w:eastAsia="华文中宋" w:cs="Times New Roman"/>
          <w:color w:val="000000"/>
          <w:sz w:val="32"/>
          <w:szCs w:val="32"/>
        </w:rPr>
        <w:sectPr>
          <w:pgSz w:w="16838" w:h="11906" w:orient="landscape"/>
          <w:pgMar w:top="1134" w:right="1134" w:bottom="1134" w:left="1134" w:header="851" w:footer="992" w:gutter="0"/>
          <w:cols w:space="425" w:num="1"/>
          <w:docGrid w:type="lines" w:linePitch="312" w:charSpace="0"/>
        </w:sectPr>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04"/>
        <w:gridCol w:w="3929"/>
        <w:gridCol w:w="1813"/>
        <w:gridCol w:w="1553"/>
        <w:gridCol w:w="1071"/>
        <w:gridCol w:w="1153"/>
        <w:gridCol w:w="1139"/>
        <w:gridCol w:w="1207"/>
        <w:gridCol w:w="1517"/>
      </w:tblGrid>
      <w:tr w14:paraId="4DFBD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9"/>
            <w:tcBorders>
              <w:top w:val="nil"/>
              <w:left w:val="nil"/>
              <w:bottom w:val="nil"/>
              <w:right w:val="nil"/>
            </w:tcBorders>
            <w:shd w:val="clear" w:color="auto" w:fill="auto"/>
            <w:noWrap/>
            <w:vAlign w:val="center"/>
          </w:tcPr>
          <w:p w14:paraId="3BB26996">
            <w:pPr>
              <w:keepNext w:val="0"/>
              <w:keepLines w:val="0"/>
              <w:widowControl/>
              <w:suppressLineNumbers w:val="0"/>
              <w:jc w:val="center"/>
              <w:textAlignment w:val="center"/>
              <w:rPr>
                <w:rFonts w:ascii="黑体" w:hAnsi="宋体" w:eastAsia="黑体" w:cs="黑体"/>
                <w:i w:val="0"/>
                <w:iCs w:val="0"/>
                <w:color w:val="000000"/>
                <w:sz w:val="36"/>
                <w:szCs w:val="36"/>
                <w:u w:val="none"/>
              </w:rPr>
            </w:pPr>
            <w:bookmarkStart w:id="0" w:name="RANGE!A1:F16"/>
            <w:r>
              <w:rPr>
                <w:rFonts w:hint="eastAsia" w:ascii="黑体" w:hAnsi="宋体" w:eastAsia="黑体" w:cs="黑体"/>
                <w:i w:val="0"/>
                <w:iCs w:val="0"/>
                <w:color w:val="000000"/>
                <w:kern w:val="0"/>
                <w:sz w:val="36"/>
                <w:szCs w:val="36"/>
                <w:u w:val="none"/>
                <w:lang w:val="en-US" w:eastAsia="zh-CN" w:bidi="ar"/>
              </w:rPr>
              <w:t>收入决算表</w:t>
            </w:r>
          </w:p>
        </w:tc>
      </w:tr>
      <w:tr w14:paraId="7FB3E3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75" w:type="pct"/>
            <w:tcBorders>
              <w:top w:val="nil"/>
              <w:left w:val="nil"/>
              <w:bottom w:val="nil"/>
              <w:right w:val="nil"/>
            </w:tcBorders>
            <w:shd w:val="clear" w:color="auto" w:fill="auto"/>
            <w:noWrap/>
            <w:vAlign w:val="center"/>
          </w:tcPr>
          <w:p w14:paraId="0FCF2762">
            <w:pPr>
              <w:rPr>
                <w:rFonts w:hint="eastAsia" w:ascii="仿宋_GB2312" w:hAnsi="宋体" w:eastAsia="仿宋_GB2312" w:cs="仿宋_GB2312"/>
                <w:i w:val="0"/>
                <w:iCs w:val="0"/>
                <w:color w:val="000000"/>
                <w:sz w:val="20"/>
                <w:szCs w:val="20"/>
                <w:u w:val="none"/>
              </w:rPr>
            </w:pPr>
          </w:p>
        </w:tc>
        <w:tc>
          <w:tcPr>
            <w:tcW w:w="1328" w:type="pct"/>
            <w:tcBorders>
              <w:top w:val="nil"/>
              <w:left w:val="nil"/>
              <w:bottom w:val="nil"/>
              <w:right w:val="nil"/>
            </w:tcBorders>
            <w:shd w:val="clear" w:color="auto" w:fill="auto"/>
            <w:noWrap/>
            <w:vAlign w:val="center"/>
          </w:tcPr>
          <w:p w14:paraId="43966B51">
            <w:pPr>
              <w:rPr>
                <w:rFonts w:hint="eastAsia" w:ascii="仿宋_GB2312" w:hAnsi="宋体" w:eastAsia="仿宋_GB2312" w:cs="仿宋_GB2312"/>
                <w:i w:val="0"/>
                <w:iCs w:val="0"/>
                <w:color w:val="000000"/>
                <w:sz w:val="20"/>
                <w:szCs w:val="20"/>
                <w:u w:val="none"/>
              </w:rPr>
            </w:pPr>
          </w:p>
        </w:tc>
        <w:tc>
          <w:tcPr>
            <w:tcW w:w="613" w:type="pct"/>
            <w:tcBorders>
              <w:top w:val="nil"/>
              <w:left w:val="nil"/>
              <w:bottom w:val="nil"/>
              <w:right w:val="nil"/>
            </w:tcBorders>
            <w:shd w:val="clear" w:color="auto" w:fill="auto"/>
            <w:noWrap/>
            <w:vAlign w:val="center"/>
          </w:tcPr>
          <w:p w14:paraId="368488E1">
            <w:pPr>
              <w:rPr>
                <w:rFonts w:hint="eastAsia" w:ascii="仿宋_GB2312" w:hAnsi="宋体" w:eastAsia="仿宋_GB2312" w:cs="仿宋_GB2312"/>
                <w:i w:val="0"/>
                <w:iCs w:val="0"/>
                <w:color w:val="000000"/>
                <w:sz w:val="20"/>
                <w:szCs w:val="20"/>
                <w:u w:val="none"/>
              </w:rPr>
            </w:pPr>
          </w:p>
        </w:tc>
        <w:tc>
          <w:tcPr>
            <w:tcW w:w="525" w:type="pct"/>
            <w:tcBorders>
              <w:top w:val="nil"/>
              <w:left w:val="nil"/>
              <w:bottom w:val="nil"/>
              <w:right w:val="nil"/>
            </w:tcBorders>
            <w:shd w:val="clear" w:color="auto" w:fill="auto"/>
            <w:noWrap/>
            <w:vAlign w:val="center"/>
          </w:tcPr>
          <w:p w14:paraId="0CC1D49D">
            <w:pPr>
              <w:rPr>
                <w:rFonts w:hint="eastAsia" w:ascii="仿宋_GB2312" w:hAnsi="宋体" w:eastAsia="仿宋_GB2312" w:cs="仿宋_GB2312"/>
                <w:i w:val="0"/>
                <w:iCs w:val="0"/>
                <w:color w:val="000000"/>
                <w:sz w:val="20"/>
                <w:szCs w:val="20"/>
                <w:u w:val="none"/>
              </w:rPr>
            </w:pPr>
          </w:p>
        </w:tc>
        <w:tc>
          <w:tcPr>
            <w:tcW w:w="362" w:type="pct"/>
            <w:tcBorders>
              <w:top w:val="nil"/>
              <w:left w:val="nil"/>
              <w:bottom w:val="nil"/>
              <w:right w:val="nil"/>
            </w:tcBorders>
            <w:shd w:val="clear" w:color="auto" w:fill="auto"/>
            <w:noWrap/>
            <w:vAlign w:val="center"/>
          </w:tcPr>
          <w:p w14:paraId="7D96EE88">
            <w:pPr>
              <w:rPr>
                <w:rFonts w:hint="eastAsia" w:ascii="仿宋_GB2312" w:hAnsi="宋体" w:eastAsia="仿宋_GB2312" w:cs="仿宋_GB2312"/>
                <w:i w:val="0"/>
                <w:iCs w:val="0"/>
                <w:color w:val="000000"/>
                <w:sz w:val="20"/>
                <w:szCs w:val="20"/>
                <w:u w:val="none"/>
              </w:rPr>
            </w:pPr>
          </w:p>
        </w:tc>
        <w:tc>
          <w:tcPr>
            <w:tcW w:w="390" w:type="pct"/>
            <w:tcBorders>
              <w:top w:val="nil"/>
              <w:left w:val="nil"/>
              <w:bottom w:val="nil"/>
              <w:right w:val="nil"/>
            </w:tcBorders>
            <w:shd w:val="clear" w:color="auto" w:fill="auto"/>
            <w:noWrap/>
            <w:vAlign w:val="center"/>
          </w:tcPr>
          <w:p w14:paraId="7501D889">
            <w:pPr>
              <w:rPr>
                <w:rFonts w:hint="eastAsia" w:ascii="仿宋_GB2312" w:hAnsi="宋体" w:eastAsia="仿宋_GB2312" w:cs="仿宋_GB2312"/>
                <w:i w:val="0"/>
                <w:iCs w:val="0"/>
                <w:color w:val="000000"/>
                <w:sz w:val="20"/>
                <w:szCs w:val="20"/>
                <w:u w:val="none"/>
              </w:rPr>
            </w:pPr>
          </w:p>
        </w:tc>
        <w:tc>
          <w:tcPr>
            <w:tcW w:w="385" w:type="pct"/>
            <w:tcBorders>
              <w:top w:val="nil"/>
              <w:left w:val="nil"/>
              <w:bottom w:val="nil"/>
              <w:right w:val="nil"/>
            </w:tcBorders>
            <w:shd w:val="clear" w:color="auto" w:fill="auto"/>
            <w:noWrap/>
            <w:vAlign w:val="center"/>
          </w:tcPr>
          <w:p w14:paraId="791CC474">
            <w:pPr>
              <w:rPr>
                <w:rFonts w:hint="eastAsia" w:ascii="仿宋_GB2312" w:hAnsi="宋体" w:eastAsia="仿宋_GB2312" w:cs="仿宋_GB2312"/>
                <w:i w:val="0"/>
                <w:iCs w:val="0"/>
                <w:color w:val="000000"/>
                <w:sz w:val="20"/>
                <w:szCs w:val="20"/>
                <w:u w:val="none"/>
              </w:rPr>
            </w:pPr>
          </w:p>
        </w:tc>
        <w:tc>
          <w:tcPr>
            <w:tcW w:w="408" w:type="pct"/>
            <w:tcBorders>
              <w:top w:val="nil"/>
              <w:left w:val="nil"/>
              <w:bottom w:val="nil"/>
              <w:right w:val="nil"/>
            </w:tcBorders>
            <w:shd w:val="clear" w:color="auto" w:fill="auto"/>
            <w:noWrap/>
            <w:vAlign w:val="center"/>
          </w:tcPr>
          <w:p w14:paraId="0D5E9415">
            <w:pPr>
              <w:rPr>
                <w:rFonts w:hint="eastAsia" w:ascii="仿宋_GB2312" w:hAnsi="宋体" w:eastAsia="仿宋_GB2312" w:cs="仿宋_GB2312"/>
                <w:i w:val="0"/>
                <w:iCs w:val="0"/>
                <w:color w:val="000000"/>
                <w:sz w:val="20"/>
                <w:szCs w:val="20"/>
                <w:u w:val="none"/>
              </w:rPr>
            </w:pPr>
          </w:p>
        </w:tc>
        <w:tc>
          <w:tcPr>
            <w:tcW w:w="509" w:type="pct"/>
            <w:tcBorders>
              <w:top w:val="nil"/>
              <w:left w:val="nil"/>
              <w:bottom w:val="nil"/>
              <w:right w:val="nil"/>
            </w:tcBorders>
            <w:shd w:val="clear" w:color="auto" w:fill="auto"/>
            <w:noWrap/>
            <w:vAlign w:val="bottom"/>
          </w:tcPr>
          <w:p w14:paraId="57CC6252">
            <w:pPr>
              <w:keepNext w:val="0"/>
              <w:keepLines w:val="0"/>
              <w:widowControl/>
              <w:suppressLineNumbers w:val="0"/>
              <w:jc w:val="left"/>
              <w:textAlignment w:val="bottom"/>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公开02表</w:t>
            </w:r>
          </w:p>
        </w:tc>
      </w:tr>
      <w:tr w14:paraId="3B19D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804" w:type="pct"/>
            <w:gridSpan w:val="2"/>
            <w:tcBorders>
              <w:top w:val="nil"/>
              <w:left w:val="nil"/>
              <w:bottom w:val="nil"/>
              <w:right w:val="nil"/>
            </w:tcBorders>
            <w:shd w:val="clear" w:color="auto" w:fill="auto"/>
            <w:noWrap/>
            <w:vAlign w:val="center"/>
          </w:tcPr>
          <w:p w14:paraId="585ED89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单位：湖南省知识产权保护中心</w:t>
            </w:r>
          </w:p>
        </w:tc>
        <w:tc>
          <w:tcPr>
            <w:tcW w:w="613" w:type="pct"/>
            <w:tcBorders>
              <w:top w:val="nil"/>
              <w:left w:val="nil"/>
              <w:bottom w:val="nil"/>
              <w:right w:val="nil"/>
            </w:tcBorders>
            <w:shd w:val="clear" w:color="auto" w:fill="auto"/>
            <w:noWrap/>
            <w:vAlign w:val="center"/>
          </w:tcPr>
          <w:p w14:paraId="6228335C">
            <w:pPr>
              <w:rPr>
                <w:rFonts w:hint="eastAsia" w:ascii="仿宋_GB2312" w:hAnsi="宋体" w:eastAsia="仿宋_GB2312" w:cs="仿宋_GB2312"/>
                <w:i w:val="0"/>
                <w:iCs w:val="0"/>
                <w:color w:val="000000"/>
                <w:sz w:val="20"/>
                <w:szCs w:val="20"/>
                <w:u w:val="none"/>
              </w:rPr>
            </w:pPr>
          </w:p>
        </w:tc>
        <w:tc>
          <w:tcPr>
            <w:tcW w:w="525" w:type="pct"/>
            <w:tcBorders>
              <w:top w:val="nil"/>
              <w:left w:val="nil"/>
              <w:bottom w:val="nil"/>
              <w:right w:val="nil"/>
            </w:tcBorders>
            <w:shd w:val="clear" w:color="auto" w:fill="auto"/>
            <w:noWrap/>
            <w:vAlign w:val="center"/>
          </w:tcPr>
          <w:p w14:paraId="60E5C634">
            <w:pPr>
              <w:rPr>
                <w:rFonts w:hint="eastAsia" w:ascii="仿宋_GB2312" w:hAnsi="宋体" w:eastAsia="仿宋_GB2312" w:cs="仿宋_GB2312"/>
                <w:i w:val="0"/>
                <w:iCs w:val="0"/>
                <w:color w:val="000000"/>
                <w:sz w:val="20"/>
                <w:szCs w:val="20"/>
                <w:u w:val="none"/>
              </w:rPr>
            </w:pPr>
          </w:p>
        </w:tc>
        <w:tc>
          <w:tcPr>
            <w:tcW w:w="362" w:type="pct"/>
            <w:tcBorders>
              <w:top w:val="nil"/>
              <w:left w:val="nil"/>
              <w:bottom w:val="nil"/>
              <w:right w:val="nil"/>
            </w:tcBorders>
            <w:shd w:val="clear" w:color="auto" w:fill="auto"/>
            <w:noWrap/>
            <w:vAlign w:val="center"/>
          </w:tcPr>
          <w:p w14:paraId="7F379011">
            <w:pPr>
              <w:rPr>
                <w:rFonts w:hint="eastAsia" w:ascii="仿宋_GB2312" w:hAnsi="宋体" w:eastAsia="仿宋_GB2312" w:cs="仿宋_GB2312"/>
                <w:i w:val="0"/>
                <w:iCs w:val="0"/>
                <w:color w:val="000000"/>
                <w:sz w:val="20"/>
                <w:szCs w:val="20"/>
                <w:u w:val="none"/>
              </w:rPr>
            </w:pPr>
          </w:p>
        </w:tc>
        <w:tc>
          <w:tcPr>
            <w:tcW w:w="390" w:type="pct"/>
            <w:tcBorders>
              <w:top w:val="nil"/>
              <w:left w:val="nil"/>
              <w:bottom w:val="nil"/>
              <w:right w:val="nil"/>
            </w:tcBorders>
            <w:shd w:val="clear" w:color="auto" w:fill="auto"/>
            <w:noWrap/>
            <w:vAlign w:val="center"/>
          </w:tcPr>
          <w:p w14:paraId="6D0E3F1C">
            <w:pPr>
              <w:rPr>
                <w:rFonts w:hint="eastAsia" w:ascii="仿宋_GB2312" w:hAnsi="宋体" w:eastAsia="仿宋_GB2312" w:cs="仿宋_GB2312"/>
                <w:i w:val="0"/>
                <w:iCs w:val="0"/>
                <w:color w:val="000000"/>
                <w:sz w:val="20"/>
                <w:szCs w:val="20"/>
                <w:u w:val="none"/>
              </w:rPr>
            </w:pPr>
          </w:p>
        </w:tc>
        <w:tc>
          <w:tcPr>
            <w:tcW w:w="385" w:type="pct"/>
            <w:tcBorders>
              <w:top w:val="nil"/>
              <w:left w:val="nil"/>
              <w:bottom w:val="nil"/>
              <w:right w:val="nil"/>
            </w:tcBorders>
            <w:shd w:val="clear" w:color="auto" w:fill="auto"/>
            <w:noWrap/>
            <w:vAlign w:val="center"/>
          </w:tcPr>
          <w:p w14:paraId="4EFC7740">
            <w:pPr>
              <w:rPr>
                <w:rFonts w:hint="eastAsia" w:ascii="仿宋_GB2312" w:hAnsi="宋体" w:eastAsia="仿宋_GB2312" w:cs="仿宋_GB2312"/>
                <w:i w:val="0"/>
                <w:iCs w:val="0"/>
                <w:color w:val="000000"/>
                <w:sz w:val="20"/>
                <w:szCs w:val="20"/>
                <w:u w:val="none"/>
              </w:rPr>
            </w:pPr>
          </w:p>
        </w:tc>
        <w:tc>
          <w:tcPr>
            <w:tcW w:w="408" w:type="pct"/>
            <w:tcBorders>
              <w:top w:val="nil"/>
              <w:left w:val="nil"/>
              <w:bottom w:val="nil"/>
              <w:right w:val="nil"/>
            </w:tcBorders>
            <w:shd w:val="clear" w:color="auto" w:fill="auto"/>
            <w:noWrap/>
            <w:vAlign w:val="center"/>
          </w:tcPr>
          <w:p w14:paraId="549F6BCE">
            <w:pPr>
              <w:rPr>
                <w:rFonts w:hint="eastAsia" w:ascii="仿宋_GB2312" w:hAnsi="宋体" w:eastAsia="仿宋_GB2312" w:cs="仿宋_GB2312"/>
                <w:i w:val="0"/>
                <w:iCs w:val="0"/>
                <w:color w:val="000000"/>
                <w:sz w:val="20"/>
                <w:szCs w:val="20"/>
                <w:u w:val="none"/>
              </w:rPr>
            </w:pPr>
          </w:p>
        </w:tc>
        <w:tc>
          <w:tcPr>
            <w:tcW w:w="509" w:type="pct"/>
            <w:tcBorders>
              <w:top w:val="nil"/>
              <w:left w:val="nil"/>
              <w:bottom w:val="nil"/>
              <w:right w:val="nil"/>
            </w:tcBorders>
            <w:shd w:val="clear" w:color="auto" w:fill="auto"/>
            <w:noWrap/>
            <w:vAlign w:val="bottom"/>
          </w:tcPr>
          <w:p w14:paraId="44272B54">
            <w:pPr>
              <w:keepNext w:val="0"/>
              <w:keepLines w:val="0"/>
              <w:widowControl/>
              <w:suppressLineNumbers w:val="0"/>
              <w:jc w:val="left"/>
              <w:textAlignment w:val="bottom"/>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单位：万元</w:t>
            </w:r>
          </w:p>
        </w:tc>
      </w:tr>
      <w:tr w14:paraId="52B30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80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0EED9">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项     目</w:t>
            </w:r>
          </w:p>
        </w:tc>
        <w:tc>
          <w:tcPr>
            <w:tcW w:w="6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45DD35">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本年收入合计</w:t>
            </w:r>
          </w:p>
        </w:tc>
        <w:tc>
          <w:tcPr>
            <w:tcW w:w="5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3581BF">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财政拨款收入</w:t>
            </w:r>
          </w:p>
        </w:tc>
        <w:tc>
          <w:tcPr>
            <w:tcW w:w="36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886179">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上级补助收入</w:t>
            </w:r>
          </w:p>
        </w:tc>
        <w:tc>
          <w:tcPr>
            <w:tcW w:w="39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FA6158">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事业收入</w:t>
            </w:r>
          </w:p>
        </w:tc>
        <w:tc>
          <w:tcPr>
            <w:tcW w:w="38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691385">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经营收入</w:t>
            </w:r>
          </w:p>
        </w:tc>
        <w:tc>
          <w:tcPr>
            <w:tcW w:w="4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9952F5">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附属单位</w:t>
            </w:r>
            <w:r>
              <w:rPr>
                <w:rFonts w:hint="eastAsia" w:ascii="仿宋_GB2312" w:hAnsi="宋体" w:eastAsia="仿宋_GB2312" w:cs="仿宋_GB2312"/>
                <w:b/>
                <w:bCs/>
                <w:i w:val="0"/>
                <w:iCs w:val="0"/>
                <w:color w:val="000000"/>
                <w:kern w:val="0"/>
                <w:sz w:val="22"/>
                <w:szCs w:val="22"/>
                <w:u w:val="none"/>
                <w:lang w:val="en-US" w:eastAsia="zh-CN" w:bidi="ar"/>
              </w:rPr>
              <w:br w:type="textWrapping"/>
            </w:r>
            <w:r>
              <w:rPr>
                <w:rFonts w:hint="eastAsia" w:ascii="仿宋_GB2312" w:hAnsi="宋体" w:eastAsia="仿宋_GB2312" w:cs="仿宋_GB2312"/>
                <w:b/>
                <w:bCs/>
                <w:i w:val="0"/>
                <w:iCs w:val="0"/>
                <w:color w:val="000000"/>
                <w:kern w:val="0"/>
                <w:sz w:val="22"/>
                <w:szCs w:val="22"/>
                <w:u w:val="none"/>
                <w:lang w:val="en-US" w:eastAsia="zh-CN" w:bidi="ar"/>
              </w:rPr>
              <w:t>上缴收入</w:t>
            </w:r>
          </w:p>
        </w:tc>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C0A889">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其他收入</w:t>
            </w:r>
          </w:p>
        </w:tc>
      </w:tr>
      <w:tr w14:paraId="54A94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4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7B2BFE">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2"/>
                <w:szCs w:val="22"/>
                <w:u w:val="none"/>
                <w:lang w:val="en-US" w:eastAsia="zh-CN" w:bidi="ar"/>
              </w:rPr>
            </w:pPr>
            <w:r>
              <w:rPr>
                <w:rFonts w:hint="eastAsia" w:ascii="仿宋_GB2312" w:hAnsi="宋体" w:eastAsia="仿宋_GB2312" w:cs="仿宋_GB2312"/>
                <w:b/>
                <w:bCs/>
                <w:i w:val="0"/>
                <w:iCs w:val="0"/>
                <w:color w:val="000000"/>
                <w:kern w:val="0"/>
                <w:sz w:val="22"/>
                <w:szCs w:val="22"/>
                <w:u w:val="none"/>
                <w:lang w:val="en-US" w:eastAsia="zh-CN" w:bidi="ar"/>
              </w:rPr>
              <w:t>功能分类</w:t>
            </w:r>
          </w:p>
          <w:p w14:paraId="18922908">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科目编码</w:t>
            </w:r>
          </w:p>
        </w:tc>
        <w:tc>
          <w:tcPr>
            <w:tcW w:w="132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0CF33">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科目名称</w:t>
            </w:r>
          </w:p>
        </w:tc>
        <w:tc>
          <w:tcPr>
            <w:tcW w:w="6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974D23">
            <w:pPr>
              <w:jc w:val="center"/>
              <w:rPr>
                <w:rFonts w:hint="eastAsia" w:ascii="仿宋_GB2312" w:hAnsi="宋体" w:eastAsia="仿宋_GB2312" w:cs="仿宋_GB2312"/>
                <w:b/>
                <w:bCs/>
                <w:i w:val="0"/>
                <w:iCs w:val="0"/>
                <w:color w:val="000000"/>
                <w:sz w:val="22"/>
                <w:szCs w:val="22"/>
                <w:u w:val="none"/>
              </w:rPr>
            </w:pPr>
          </w:p>
        </w:tc>
        <w:tc>
          <w:tcPr>
            <w:tcW w:w="5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0E93BD">
            <w:pPr>
              <w:jc w:val="center"/>
              <w:rPr>
                <w:rFonts w:hint="eastAsia" w:ascii="仿宋_GB2312" w:hAnsi="宋体" w:eastAsia="仿宋_GB2312" w:cs="仿宋_GB2312"/>
                <w:b/>
                <w:bCs/>
                <w:i w:val="0"/>
                <w:iCs w:val="0"/>
                <w:color w:val="000000"/>
                <w:sz w:val="22"/>
                <w:szCs w:val="22"/>
                <w:u w:val="none"/>
              </w:rPr>
            </w:pPr>
          </w:p>
        </w:tc>
        <w:tc>
          <w:tcPr>
            <w:tcW w:w="36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49192E">
            <w:pPr>
              <w:jc w:val="center"/>
              <w:rPr>
                <w:rFonts w:hint="eastAsia" w:ascii="仿宋_GB2312" w:hAnsi="宋体" w:eastAsia="仿宋_GB2312" w:cs="仿宋_GB2312"/>
                <w:b/>
                <w:bCs/>
                <w:i w:val="0"/>
                <w:iCs w:val="0"/>
                <w:color w:val="000000"/>
                <w:sz w:val="22"/>
                <w:szCs w:val="22"/>
                <w:u w:val="none"/>
              </w:rPr>
            </w:pPr>
          </w:p>
        </w:tc>
        <w:tc>
          <w:tcPr>
            <w:tcW w:w="3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55C926">
            <w:pPr>
              <w:jc w:val="center"/>
              <w:rPr>
                <w:rFonts w:hint="eastAsia" w:ascii="仿宋_GB2312" w:hAnsi="宋体" w:eastAsia="仿宋_GB2312" w:cs="仿宋_GB2312"/>
                <w:b/>
                <w:bCs/>
                <w:i w:val="0"/>
                <w:iCs w:val="0"/>
                <w:color w:val="000000"/>
                <w:sz w:val="22"/>
                <w:szCs w:val="22"/>
                <w:u w:val="none"/>
              </w:rPr>
            </w:pPr>
          </w:p>
        </w:tc>
        <w:tc>
          <w:tcPr>
            <w:tcW w:w="38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4EFC93">
            <w:pPr>
              <w:jc w:val="center"/>
              <w:rPr>
                <w:rFonts w:hint="eastAsia" w:ascii="仿宋_GB2312" w:hAnsi="宋体" w:eastAsia="仿宋_GB2312" w:cs="仿宋_GB2312"/>
                <w:b/>
                <w:bCs/>
                <w:i w:val="0"/>
                <w:iCs w:val="0"/>
                <w:color w:val="000000"/>
                <w:sz w:val="22"/>
                <w:szCs w:val="22"/>
                <w:u w:val="none"/>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B34637">
            <w:pPr>
              <w:jc w:val="center"/>
              <w:rPr>
                <w:rFonts w:hint="eastAsia" w:ascii="仿宋_GB2312" w:hAnsi="宋体" w:eastAsia="仿宋_GB2312" w:cs="仿宋_GB2312"/>
                <w:b/>
                <w:bCs/>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CD94C4">
            <w:pPr>
              <w:jc w:val="center"/>
              <w:rPr>
                <w:rFonts w:hint="eastAsia" w:ascii="仿宋_GB2312" w:hAnsi="宋体" w:eastAsia="仿宋_GB2312" w:cs="仿宋_GB2312"/>
                <w:b/>
                <w:bCs/>
                <w:i w:val="0"/>
                <w:iCs w:val="0"/>
                <w:color w:val="000000"/>
                <w:sz w:val="22"/>
                <w:szCs w:val="22"/>
                <w:u w:val="none"/>
              </w:rPr>
            </w:pPr>
          </w:p>
        </w:tc>
      </w:tr>
      <w:tr w14:paraId="7C501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4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895F00">
            <w:pPr>
              <w:jc w:val="center"/>
              <w:rPr>
                <w:rFonts w:hint="eastAsia" w:ascii="仿宋_GB2312" w:hAnsi="宋体" w:eastAsia="仿宋_GB2312" w:cs="仿宋_GB2312"/>
                <w:b/>
                <w:bCs/>
                <w:i w:val="0"/>
                <w:iCs w:val="0"/>
                <w:color w:val="000000"/>
                <w:sz w:val="22"/>
                <w:szCs w:val="22"/>
                <w:u w:val="none"/>
              </w:rPr>
            </w:pPr>
          </w:p>
        </w:tc>
        <w:tc>
          <w:tcPr>
            <w:tcW w:w="132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91C28">
            <w:pPr>
              <w:jc w:val="center"/>
              <w:rPr>
                <w:rFonts w:hint="eastAsia" w:ascii="仿宋_GB2312" w:hAnsi="宋体" w:eastAsia="仿宋_GB2312" w:cs="仿宋_GB2312"/>
                <w:b/>
                <w:bCs/>
                <w:i w:val="0"/>
                <w:iCs w:val="0"/>
                <w:color w:val="000000"/>
                <w:sz w:val="22"/>
                <w:szCs w:val="22"/>
                <w:u w:val="none"/>
              </w:rPr>
            </w:pPr>
          </w:p>
        </w:tc>
        <w:tc>
          <w:tcPr>
            <w:tcW w:w="6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538338">
            <w:pPr>
              <w:jc w:val="center"/>
              <w:rPr>
                <w:rFonts w:hint="eastAsia" w:ascii="仿宋_GB2312" w:hAnsi="宋体" w:eastAsia="仿宋_GB2312" w:cs="仿宋_GB2312"/>
                <w:b/>
                <w:bCs/>
                <w:i w:val="0"/>
                <w:iCs w:val="0"/>
                <w:color w:val="000000"/>
                <w:sz w:val="22"/>
                <w:szCs w:val="22"/>
                <w:u w:val="none"/>
              </w:rPr>
            </w:pPr>
          </w:p>
        </w:tc>
        <w:tc>
          <w:tcPr>
            <w:tcW w:w="5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01F05C">
            <w:pPr>
              <w:jc w:val="center"/>
              <w:rPr>
                <w:rFonts w:hint="eastAsia" w:ascii="仿宋_GB2312" w:hAnsi="宋体" w:eastAsia="仿宋_GB2312" w:cs="仿宋_GB2312"/>
                <w:b/>
                <w:bCs/>
                <w:i w:val="0"/>
                <w:iCs w:val="0"/>
                <w:color w:val="000000"/>
                <w:sz w:val="22"/>
                <w:szCs w:val="22"/>
                <w:u w:val="none"/>
              </w:rPr>
            </w:pPr>
          </w:p>
        </w:tc>
        <w:tc>
          <w:tcPr>
            <w:tcW w:w="36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A2D7AA">
            <w:pPr>
              <w:jc w:val="center"/>
              <w:rPr>
                <w:rFonts w:hint="eastAsia" w:ascii="仿宋_GB2312" w:hAnsi="宋体" w:eastAsia="仿宋_GB2312" w:cs="仿宋_GB2312"/>
                <w:b/>
                <w:bCs/>
                <w:i w:val="0"/>
                <w:iCs w:val="0"/>
                <w:color w:val="000000"/>
                <w:sz w:val="22"/>
                <w:szCs w:val="22"/>
                <w:u w:val="none"/>
              </w:rPr>
            </w:pPr>
          </w:p>
        </w:tc>
        <w:tc>
          <w:tcPr>
            <w:tcW w:w="3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343B1F">
            <w:pPr>
              <w:jc w:val="center"/>
              <w:rPr>
                <w:rFonts w:hint="eastAsia" w:ascii="仿宋_GB2312" w:hAnsi="宋体" w:eastAsia="仿宋_GB2312" w:cs="仿宋_GB2312"/>
                <w:b/>
                <w:bCs/>
                <w:i w:val="0"/>
                <w:iCs w:val="0"/>
                <w:color w:val="000000"/>
                <w:sz w:val="22"/>
                <w:szCs w:val="22"/>
                <w:u w:val="none"/>
              </w:rPr>
            </w:pPr>
          </w:p>
        </w:tc>
        <w:tc>
          <w:tcPr>
            <w:tcW w:w="38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DDD8AC">
            <w:pPr>
              <w:jc w:val="center"/>
              <w:rPr>
                <w:rFonts w:hint="eastAsia" w:ascii="仿宋_GB2312" w:hAnsi="宋体" w:eastAsia="仿宋_GB2312" w:cs="仿宋_GB2312"/>
                <w:b/>
                <w:bCs/>
                <w:i w:val="0"/>
                <w:iCs w:val="0"/>
                <w:color w:val="000000"/>
                <w:sz w:val="22"/>
                <w:szCs w:val="22"/>
                <w:u w:val="none"/>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914E38">
            <w:pPr>
              <w:jc w:val="center"/>
              <w:rPr>
                <w:rFonts w:hint="eastAsia" w:ascii="仿宋_GB2312" w:hAnsi="宋体" w:eastAsia="仿宋_GB2312" w:cs="仿宋_GB2312"/>
                <w:b/>
                <w:bCs/>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66D441">
            <w:pPr>
              <w:jc w:val="center"/>
              <w:rPr>
                <w:rFonts w:hint="eastAsia" w:ascii="仿宋_GB2312" w:hAnsi="宋体" w:eastAsia="仿宋_GB2312" w:cs="仿宋_GB2312"/>
                <w:b/>
                <w:bCs/>
                <w:i w:val="0"/>
                <w:iCs w:val="0"/>
                <w:color w:val="000000"/>
                <w:sz w:val="22"/>
                <w:szCs w:val="22"/>
                <w:u w:val="none"/>
              </w:rPr>
            </w:pPr>
          </w:p>
        </w:tc>
      </w:tr>
      <w:tr w14:paraId="73667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4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8B83DF">
            <w:pPr>
              <w:jc w:val="center"/>
              <w:rPr>
                <w:rFonts w:hint="eastAsia" w:ascii="仿宋_GB2312" w:hAnsi="宋体" w:eastAsia="仿宋_GB2312" w:cs="仿宋_GB2312"/>
                <w:b/>
                <w:bCs/>
                <w:i w:val="0"/>
                <w:iCs w:val="0"/>
                <w:color w:val="000000"/>
                <w:sz w:val="22"/>
                <w:szCs w:val="22"/>
                <w:u w:val="none"/>
              </w:rPr>
            </w:pPr>
          </w:p>
        </w:tc>
        <w:tc>
          <w:tcPr>
            <w:tcW w:w="132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DB9E4">
            <w:pPr>
              <w:jc w:val="center"/>
              <w:rPr>
                <w:rFonts w:hint="eastAsia" w:ascii="仿宋_GB2312" w:hAnsi="宋体" w:eastAsia="仿宋_GB2312" w:cs="仿宋_GB2312"/>
                <w:b/>
                <w:bCs/>
                <w:i w:val="0"/>
                <w:iCs w:val="0"/>
                <w:color w:val="000000"/>
                <w:sz w:val="22"/>
                <w:szCs w:val="22"/>
                <w:u w:val="none"/>
              </w:rPr>
            </w:pPr>
          </w:p>
        </w:tc>
        <w:tc>
          <w:tcPr>
            <w:tcW w:w="6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6B22AF">
            <w:pPr>
              <w:jc w:val="center"/>
              <w:rPr>
                <w:rFonts w:hint="eastAsia" w:ascii="仿宋_GB2312" w:hAnsi="宋体" w:eastAsia="仿宋_GB2312" w:cs="仿宋_GB2312"/>
                <w:b/>
                <w:bCs/>
                <w:i w:val="0"/>
                <w:iCs w:val="0"/>
                <w:color w:val="000000"/>
                <w:sz w:val="22"/>
                <w:szCs w:val="22"/>
                <w:u w:val="none"/>
              </w:rPr>
            </w:pPr>
          </w:p>
        </w:tc>
        <w:tc>
          <w:tcPr>
            <w:tcW w:w="5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698300">
            <w:pPr>
              <w:jc w:val="center"/>
              <w:rPr>
                <w:rFonts w:hint="eastAsia" w:ascii="仿宋_GB2312" w:hAnsi="宋体" w:eastAsia="仿宋_GB2312" w:cs="仿宋_GB2312"/>
                <w:b/>
                <w:bCs/>
                <w:i w:val="0"/>
                <w:iCs w:val="0"/>
                <w:color w:val="000000"/>
                <w:sz w:val="22"/>
                <w:szCs w:val="22"/>
                <w:u w:val="none"/>
              </w:rPr>
            </w:pPr>
          </w:p>
        </w:tc>
        <w:tc>
          <w:tcPr>
            <w:tcW w:w="36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C263CC">
            <w:pPr>
              <w:jc w:val="center"/>
              <w:rPr>
                <w:rFonts w:hint="eastAsia" w:ascii="仿宋_GB2312" w:hAnsi="宋体" w:eastAsia="仿宋_GB2312" w:cs="仿宋_GB2312"/>
                <w:b/>
                <w:bCs/>
                <w:i w:val="0"/>
                <w:iCs w:val="0"/>
                <w:color w:val="000000"/>
                <w:sz w:val="22"/>
                <w:szCs w:val="22"/>
                <w:u w:val="none"/>
              </w:rPr>
            </w:pPr>
          </w:p>
        </w:tc>
        <w:tc>
          <w:tcPr>
            <w:tcW w:w="3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56FF27">
            <w:pPr>
              <w:jc w:val="center"/>
              <w:rPr>
                <w:rFonts w:hint="eastAsia" w:ascii="仿宋_GB2312" w:hAnsi="宋体" w:eastAsia="仿宋_GB2312" w:cs="仿宋_GB2312"/>
                <w:b/>
                <w:bCs/>
                <w:i w:val="0"/>
                <w:iCs w:val="0"/>
                <w:color w:val="000000"/>
                <w:sz w:val="22"/>
                <w:szCs w:val="22"/>
                <w:u w:val="none"/>
              </w:rPr>
            </w:pPr>
          </w:p>
        </w:tc>
        <w:tc>
          <w:tcPr>
            <w:tcW w:w="38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273F2">
            <w:pPr>
              <w:jc w:val="center"/>
              <w:rPr>
                <w:rFonts w:hint="eastAsia" w:ascii="仿宋_GB2312" w:hAnsi="宋体" w:eastAsia="仿宋_GB2312" w:cs="仿宋_GB2312"/>
                <w:b/>
                <w:bCs/>
                <w:i w:val="0"/>
                <w:iCs w:val="0"/>
                <w:color w:val="000000"/>
                <w:sz w:val="22"/>
                <w:szCs w:val="22"/>
                <w:u w:val="none"/>
              </w:rPr>
            </w:pP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9A9712">
            <w:pPr>
              <w:jc w:val="center"/>
              <w:rPr>
                <w:rFonts w:hint="eastAsia" w:ascii="仿宋_GB2312" w:hAnsi="宋体" w:eastAsia="仿宋_GB2312" w:cs="仿宋_GB2312"/>
                <w:b/>
                <w:bCs/>
                <w:i w:val="0"/>
                <w:iCs w:val="0"/>
                <w:color w:val="000000"/>
                <w:sz w:val="22"/>
                <w:szCs w:val="22"/>
                <w:u w:val="none"/>
              </w:rPr>
            </w:pPr>
          </w:p>
        </w:tc>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8F17FB">
            <w:pPr>
              <w:jc w:val="center"/>
              <w:rPr>
                <w:rFonts w:hint="eastAsia" w:ascii="仿宋_GB2312" w:hAnsi="宋体" w:eastAsia="仿宋_GB2312" w:cs="仿宋_GB2312"/>
                <w:b/>
                <w:bCs/>
                <w:i w:val="0"/>
                <w:iCs w:val="0"/>
                <w:color w:val="000000"/>
                <w:sz w:val="22"/>
                <w:szCs w:val="22"/>
                <w:u w:val="none"/>
              </w:rPr>
            </w:pPr>
          </w:p>
        </w:tc>
      </w:tr>
      <w:tr w14:paraId="095AB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80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F6528">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栏次</w:t>
            </w:r>
          </w:p>
        </w:tc>
        <w:tc>
          <w:tcPr>
            <w:tcW w:w="6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622A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5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555E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5F17C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566E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94EA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2C9A2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5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7FF8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w:t>
            </w:r>
          </w:p>
        </w:tc>
      </w:tr>
      <w:tr w14:paraId="2BE25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80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ADDFF">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合计</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F916C">
            <w:pPr>
              <w:keepNext w:val="0"/>
              <w:keepLines w:val="0"/>
              <w:widowControl/>
              <w:suppressLineNumbers w:val="0"/>
              <w:jc w:val="righ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1,679.69</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83D6D">
            <w:pPr>
              <w:keepNext w:val="0"/>
              <w:keepLines w:val="0"/>
              <w:widowControl/>
              <w:suppressLineNumbers w:val="0"/>
              <w:jc w:val="righ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1,679.69</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9E26F">
            <w:pPr>
              <w:jc w:val="right"/>
              <w:rPr>
                <w:rFonts w:hint="default" w:ascii="Times New Roman" w:hAnsi="Times New Roman" w:eastAsia="宋体" w:cs="Times New Roman"/>
                <w:b/>
                <w:bCs/>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95BD3">
            <w:pPr>
              <w:jc w:val="right"/>
              <w:rPr>
                <w:rFonts w:hint="default" w:ascii="Times New Roman" w:hAnsi="Times New Roman" w:eastAsia="宋体" w:cs="Times New Roman"/>
                <w:b/>
                <w:bCs/>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CDDB8">
            <w:pPr>
              <w:jc w:val="right"/>
              <w:rPr>
                <w:rFonts w:hint="default" w:ascii="Times New Roman" w:hAnsi="Times New Roman" w:eastAsia="宋体" w:cs="Times New Roman"/>
                <w:b/>
                <w:bCs/>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E3790">
            <w:pPr>
              <w:jc w:val="right"/>
              <w:rPr>
                <w:rFonts w:hint="default" w:ascii="Times New Roman" w:hAnsi="Times New Roman" w:eastAsia="宋体" w:cs="Times New Roman"/>
                <w:b/>
                <w:bCs/>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18FF1">
            <w:pPr>
              <w:jc w:val="right"/>
              <w:rPr>
                <w:rFonts w:hint="default" w:ascii="Times New Roman" w:hAnsi="Times New Roman" w:eastAsia="宋体" w:cs="Times New Roman"/>
                <w:b/>
                <w:bCs/>
                <w:i w:val="0"/>
                <w:iCs w:val="0"/>
                <w:color w:val="000000"/>
                <w:sz w:val="22"/>
                <w:szCs w:val="22"/>
                <w:u w:val="none"/>
              </w:rPr>
            </w:pPr>
          </w:p>
        </w:tc>
      </w:tr>
      <w:tr w14:paraId="29C71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AA94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25197">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一般公共服务支出</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55A9F">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1,362.36</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EA2CF">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1,362.36</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7E054">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4B480">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31D8E">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EEC1D">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5E210">
            <w:pPr>
              <w:jc w:val="right"/>
              <w:rPr>
                <w:rFonts w:hint="default" w:ascii="Times New Roman" w:hAnsi="Times New Roman" w:eastAsia="宋体" w:cs="Times New Roman"/>
                <w:i w:val="0"/>
                <w:iCs w:val="0"/>
                <w:color w:val="000000"/>
                <w:sz w:val="22"/>
                <w:szCs w:val="22"/>
                <w:u w:val="none"/>
              </w:rPr>
            </w:pPr>
          </w:p>
        </w:tc>
      </w:tr>
      <w:tr w14:paraId="0B40E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D1E1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20114</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FD9C3">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知识产权事务</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5067E">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160.00</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221C4">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160.00</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79003">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2C169">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6B652">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B9C8B">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4D56A">
            <w:pPr>
              <w:jc w:val="right"/>
              <w:rPr>
                <w:rFonts w:hint="default" w:ascii="Times New Roman" w:hAnsi="Times New Roman" w:eastAsia="宋体" w:cs="Times New Roman"/>
                <w:i w:val="0"/>
                <w:iCs w:val="0"/>
                <w:color w:val="000000"/>
                <w:sz w:val="22"/>
                <w:szCs w:val="22"/>
                <w:u w:val="none"/>
              </w:rPr>
            </w:pPr>
          </w:p>
        </w:tc>
      </w:tr>
      <w:tr w14:paraId="3E90F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D24A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2011499</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3119B">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其他知识产权事务支出</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78F91">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160.00</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FF331">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160.00</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2C100">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96BE2">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8768A">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413CD">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47038">
            <w:pPr>
              <w:jc w:val="right"/>
              <w:rPr>
                <w:rFonts w:hint="default" w:ascii="Times New Roman" w:hAnsi="Times New Roman" w:eastAsia="宋体" w:cs="Times New Roman"/>
                <w:i w:val="0"/>
                <w:iCs w:val="0"/>
                <w:color w:val="000000"/>
                <w:sz w:val="22"/>
                <w:szCs w:val="22"/>
                <w:u w:val="none"/>
              </w:rPr>
            </w:pPr>
          </w:p>
        </w:tc>
      </w:tr>
      <w:tr w14:paraId="673CA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B5C5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20138</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374FE">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市场监督管理事务</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3EB3E">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1,202.36</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054DD">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1,202.36</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3DFCA">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8713F">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2643D">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1573D">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E97CD">
            <w:pPr>
              <w:jc w:val="right"/>
              <w:rPr>
                <w:rFonts w:hint="default" w:ascii="Times New Roman" w:hAnsi="Times New Roman" w:eastAsia="宋体" w:cs="Times New Roman"/>
                <w:i w:val="0"/>
                <w:iCs w:val="0"/>
                <w:color w:val="000000"/>
                <w:sz w:val="22"/>
                <w:szCs w:val="22"/>
                <w:u w:val="none"/>
              </w:rPr>
            </w:pPr>
          </w:p>
        </w:tc>
      </w:tr>
      <w:tr w14:paraId="3D38C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EE9F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2013810</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C52F6">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质量基础</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E09DC">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3.00</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2F82D">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3.00</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F2CAC">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C44C8">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6D916">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13424">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538B7">
            <w:pPr>
              <w:jc w:val="right"/>
              <w:rPr>
                <w:rFonts w:hint="default" w:ascii="Times New Roman" w:hAnsi="Times New Roman" w:eastAsia="宋体" w:cs="Times New Roman"/>
                <w:i w:val="0"/>
                <w:iCs w:val="0"/>
                <w:color w:val="000000"/>
                <w:sz w:val="22"/>
                <w:szCs w:val="22"/>
                <w:u w:val="none"/>
              </w:rPr>
            </w:pPr>
          </w:p>
        </w:tc>
      </w:tr>
      <w:tr w14:paraId="4500B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55EC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2013850</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32F82">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事业运行</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9AC09">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937.60</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0AE1F">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937.60</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8173B">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49555">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CE39F">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D9D4E">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2162A">
            <w:pPr>
              <w:jc w:val="right"/>
              <w:rPr>
                <w:rFonts w:hint="default" w:ascii="Times New Roman" w:hAnsi="Times New Roman" w:eastAsia="宋体" w:cs="Times New Roman"/>
                <w:i w:val="0"/>
                <w:iCs w:val="0"/>
                <w:color w:val="000000"/>
                <w:sz w:val="22"/>
                <w:szCs w:val="22"/>
                <w:u w:val="none"/>
              </w:rPr>
            </w:pPr>
          </w:p>
        </w:tc>
      </w:tr>
      <w:tr w14:paraId="7D0085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90DE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2013899</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EFD94">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其他市场监督管理事务</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4C585">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261.76</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908A5">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261.76</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7376A">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4275F">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9592C">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178D6">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D76AC">
            <w:pPr>
              <w:jc w:val="right"/>
              <w:rPr>
                <w:rFonts w:hint="default" w:ascii="Times New Roman" w:hAnsi="Times New Roman" w:eastAsia="宋体" w:cs="Times New Roman"/>
                <w:i w:val="0"/>
                <w:iCs w:val="0"/>
                <w:color w:val="000000"/>
                <w:sz w:val="22"/>
                <w:szCs w:val="22"/>
                <w:u w:val="none"/>
              </w:rPr>
            </w:pPr>
          </w:p>
        </w:tc>
      </w:tr>
      <w:tr w14:paraId="19A8D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2092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205</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F30AE">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教育支出</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B384D">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50.70</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695C0">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50.70</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A2069">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66182">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F005C">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ECF87">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13565">
            <w:pPr>
              <w:jc w:val="right"/>
              <w:rPr>
                <w:rFonts w:hint="default" w:ascii="Times New Roman" w:hAnsi="Times New Roman" w:eastAsia="宋体" w:cs="Times New Roman"/>
                <w:i w:val="0"/>
                <w:iCs w:val="0"/>
                <w:color w:val="000000"/>
                <w:sz w:val="22"/>
                <w:szCs w:val="22"/>
                <w:u w:val="none"/>
              </w:rPr>
            </w:pPr>
          </w:p>
        </w:tc>
      </w:tr>
      <w:tr w14:paraId="5E4EC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EBF7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20508</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769D0">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进修及培训</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A1337">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50.70</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9F9FE">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50.70</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81DC8">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53572">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B05DA">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D6037">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1E815">
            <w:pPr>
              <w:jc w:val="right"/>
              <w:rPr>
                <w:rFonts w:hint="default" w:ascii="Times New Roman" w:hAnsi="Times New Roman" w:eastAsia="宋体" w:cs="Times New Roman"/>
                <w:i w:val="0"/>
                <w:iCs w:val="0"/>
                <w:color w:val="000000"/>
                <w:sz w:val="22"/>
                <w:szCs w:val="22"/>
                <w:u w:val="none"/>
              </w:rPr>
            </w:pPr>
          </w:p>
        </w:tc>
      </w:tr>
      <w:tr w14:paraId="665CA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9E9C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2050803</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8D4EF">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培训支出</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A3FBE">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50.70</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773BE">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50.70</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7F9FD">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1C32D">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FC58A">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3C35F">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FDC59">
            <w:pPr>
              <w:jc w:val="right"/>
              <w:rPr>
                <w:rFonts w:hint="default" w:ascii="Times New Roman" w:hAnsi="Times New Roman" w:eastAsia="宋体" w:cs="Times New Roman"/>
                <w:i w:val="0"/>
                <w:iCs w:val="0"/>
                <w:color w:val="000000"/>
                <w:sz w:val="22"/>
                <w:szCs w:val="22"/>
                <w:u w:val="none"/>
              </w:rPr>
            </w:pPr>
          </w:p>
        </w:tc>
      </w:tr>
      <w:tr w14:paraId="69D90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8F5A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D3DF5">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社会保障和就业支出</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F2BAA">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114.42</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402A0">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114.42</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39CAF">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87A7B">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07113">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39EE7">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730FE">
            <w:pPr>
              <w:jc w:val="right"/>
              <w:rPr>
                <w:rFonts w:hint="default" w:ascii="Times New Roman" w:hAnsi="Times New Roman" w:eastAsia="宋体" w:cs="Times New Roman"/>
                <w:i w:val="0"/>
                <w:iCs w:val="0"/>
                <w:color w:val="000000"/>
                <w:sz w:val="22"/>
                <w:szCs w:val="22"/>
                <w:u w:val="none"/>
              </w:rPr>
            </w:pPr>
          </w:p>
        </w:tc>
      </w:tr>
      <w:tr w14:paraId="4BED1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70E4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20805</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508DD">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行政事业单位养老支出</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0C96B">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100.42</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7E78D">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100.42</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2EC06">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9B300">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5786E">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BD648">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84B1E">
            <w:pPr>
              <w:jc w:val="right"/>
              <w:rPr>
                <w:rFonts w:hint="default" w:ascii="Times New Roman" w:hAnsi="Times New Roman" w:eastAsia="宋体" w:cs="Times New Roman"/>
                <w:i w:val="0"/>
                <w:iCs w:val="0"/>
                <w:color w:val="000000"/>
                <w:sz w:val="22"/>
                <w:szCs w:val="22"/>
                <w:u w:val="none"/>
              </w:rPr>
            </w:pPr>
          </w:p>
        </w:tc>
      </w:tr>
      <w:tr w14:paraId="23389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B280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2080502</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4BB5F">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事业单位离退休</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80F9F">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2.62</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360F6">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2.62</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4E5F1">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54AD9">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17BBF">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AE3FB">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2BCFB">
            <w:pPr>
              <w:jc w:val="right"/>
              <w:rPr>
                <w:rFonts w:hint="default" w:ascii="Times New Roman" w:hAnsi="Times New Roman" w:eastAsia="宋体" w:cs="Times New Roman"/>
                <w:i w:val="0"/>
                <w:iCs w:val="0"/>
                <w:color w:val="000000"/>
                <w:sz w:val="22"/>
                <w:szCs w:val="22"/>
                <w:u w:val="none"/>
              </w:rPr>
            </w:pPr>
          </w:p>
        </w:tc>
      </w:tr>
      <w:tr w14:paraId="63DAF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FDEE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2080505</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EE5C1">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机关事业单位基本养老保险缴费支出</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DAF6B">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97.80</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60890">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97.80</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E314F">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A7E70">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3199B">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A517E">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59A00">
            <w:pPr>
              <w:jc w:val="right"/>
              <w:rPr>
                <w:rFonts w:hint="default" w:ascii="Times New Roman" w:hAnsi="Times New Roman" w:eastAsia="宋体" w:cs="Times New Roman"/>
                <w:i w:val="0"/>
                <w:iCs w:val="0"/>
                <w:color w:val="000000"/>
                <w:sz w:val="22"/>
                <w:szCs w:val="22"/>
                <w:u w:val="none"/>
              </w:rPr>
            </w:pPr>
          </w:p>
        </w:tc>
      </w:tr>
      <w:tr w14:paraId="30C4F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99D5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20899</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3C1C6">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其他社会保障和就业支出</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909EA">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14.00</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75D44">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14.00</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C2C41">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D0F71">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A0666">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139EE">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B316A">
            <w:pPr>
              <w:jc w:val="right"/>
              <w:rPr>
                <w:rFonts w:hint="default" w:ascii="Times New Roman" w:hAnsi="Times New Roman" w:eastAsia="宋体" w:cs="Times New Roman"/>
                <w:i w:val="0"/>
                <w:iCs w:val="0"/>
                <w:color w:val="000000"/>
                <w:sz w:val="22"/>
                <w:szCs w:val="22"/>
                <w:u w:val="none"/>
              </w:rPr>
            </w:pPr>
          </w:p>
        </w:tc>
      </w:tr>
      <w:tr w14:paraId="3F37A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F634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2089999</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3F828">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其他社会保障和就业支出</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7B9E9">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14.00</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E98F4">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14.00</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F3039">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9D9CB">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34572">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A607F">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53F5F">
            <w:pPr>
              <w:jc w:val="right"/>
              <w:rPr>
                <w:rFonts w:hint="default" w:ascii="Times New Roman" w:hAnsi="Times New Roman" w:eastAsia="宋体" w:cs="Times New Roman"/>
                <w:i w:val="0"/>
                <w:iCs w:val="0"/>
                <w:color w:val="000000"/>
                <w:sz w:val="22"/>
                <w:szCs w:val="22"/>
                <w:u w:val="none"/>
              </w:rPr>
            </w:pPr>
          </w:p>
        </w:tc>
      </w:tr>
      <w:tr w14:paraId="062432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93DC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210</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B42E6">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卫生健康支出</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C7D4B">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9F86B">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BAF0D">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B0709">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71ACC">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598E0">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DEF6C">
            <w:pPr>
              <w:jc w:val="right"/>
              <w:rPr>
                <w:rFonts w:hint="default" w:ascii="Times New Roman" w:hAnsi="Times New Roman" w:eastAsia="宋体" w:cs="Times New Roman"/>
                <w:i w:val="0"/>
                <w:iCs w:val="0"/>
                <w:color w:val="000000"/>
                <w:sz w:val="22"/>
                <w:szCs w:val="22"/>
                <w:u w:val="none"/>
              </w:rPr>
            </w:pPr>
          </w:p>
        </w:tc>
      </w:tr>
      <w:tr w14:paraId="4973E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9FE5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21011</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A55CD">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行政事业单位医疗</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9FA11">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F02D8">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156B2">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D18EC">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AB84B">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B9A99">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174B4">
            <w:pPr>
              <w:jc w:val="right"/>
              <w:rPr>
                <w:rFonts w:hint="default" w:ascii="Times New Roman" w:hAnsi="Times New Roman" w:eastAsia="宋体" w:cs="Times New Roman"/>
                <w:i w:val="0"/>
                <w:iCs w:val="0"/>
                <w:color w:val="000000"/>
                <w:sz w:val="22"/>
                <w:szCs w:val="22"/>
                <w:u w:val="none"/>
              </w:rPr>
            </w:pPr>
          </w:p>
        </w:tc>
      </w:tr>
      <w:tr w14:paraId="517F5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FDAA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2101102</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209D2">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事业单位医疗</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5EB0E">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7A67A">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CF518">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5E4FB">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41A3E">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2C48E">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31C9B">
            <w:pPr>
              <w:jc w:val="right"/>
              <w:rPr>
                <w:rFonts w:hint="default" w:ascii="Times New Roman" w:hAnsi="Times New Roman" w:eastAsia="宋体" w:cs="Times New Roman"/>
                <w:i w:val="0"/>
                <w:iCs w:val="0"/>
                <w:color w:val="000000"/>
                <w:sz w:val="22"/>
                <w:szCs w:val="22"/>
                <w:u w:val="none"/>
              </w:rPr>
            </w:pPr>
          </w:p>
        </w:tc>
      </w:tr>
      <w:tr w14:paraId="571EE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F1F5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221</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7296A">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住房保障支出</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EF7DA">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BCD49">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5793F">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6C2A3">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A1001">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D172B">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0474F">
            <w:pPr>
              <w:jc w:val="right"/>
              <w:rPr>
                <w:rFonts w:hint="default" w:ascii="Times New Roman" w:hAnsi="Times New Roman" w:eastAsia="宋体" w:cs="Times New Roman"/>
                <w:i w:val="0"/>
                <w:iCs w:val="0"/>
                <w:color w:val="000000"/>
                <w:sz w:val="22"/>
                <w:szCs w:val="22"/>
                <w:u w:val="none"/>
              </w:rPr>
            </w:pPr>
          </w:p>
        </w:tc>
      </w:tr>
      <w:tr w14:paraId="52ECC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B8B5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22102</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25151">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住房改革支出</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E9971">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68FDA">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45FC8">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97A9C">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A94F6">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F5C6D">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17F22">
            <w:pPr>
              <w:jc w:val="right"/>
              <w:rPr>
                <w:rFonts w:hint="default" w:ascii="Times New Roman" w:hAnsi="Times New Roman" w:eastAsia="宋体" w:cs="Times New Roman"/>
                <w:i w:val="0"/>
                <w:iCs w:val="0"/>
                <w:color w:val="000000"/>
                <w:sz w:val="22"/>
                <w:szCs w:val="22"/>
                <w:u w:val="none"/>
              </w:rPr>
            </w:pPr>
          </w:p>
        </w:tc>
      </w:tr>
      <w:tr w14:paraId="3A457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4A22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2210201</w:t>
            </w:r>
          </w:p>
        </w:tc>
        <w:tc>
          <w:tcPr>
            <w:tcW w:w="13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079F3">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住房公积金</w:t>
            </w:r>
          </w:p>
        </w:tc>
        <w:tc>
          <w:tcPr>
            <w:tcW w:w="6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5F52C">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5D626">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D284E">
            <w:pPr>
              <w:jc w:val="right"/>
              <w:rPr>
                <w:rFonts w:hint="default" w:ascii="Times New Roman" w:hAnsi="Times New Roman" w:eastAsia="宋体" w:cs="Times New Roman"/>
                <w:i w:val="0"/>
                <w:iCs w:val="0"/>
                <w:color w:val="000000"/>
                <w:sz w:val="22"/>
                <w:szCs w:val="22"/>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750B6">
            <w:pPr>
              <w:jc w:val="right"/>
              <w:rPr>
                <w:rFonts w:hint="default" w:ascii="Times New Roman" w:hAnsi="Times New Roman" w:eastAsia="宋体" w:cs="Times New Roman"/>
                <w:i w:val="0"/>
                <w:iCs w:val="0"/>
                <w:color w:val="000000"/>
                <w:sz w:val="22"/>
                <w:szCs w:val="22"/>
                <w:u w:val="none"/>
              </w:rPr>
            </w:pP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0B475">
            <w:pPr>
              <w:jc w:val="right"/>
              <w:rPr>
                <w:rFonts w:hint="default" w:ascii="Times New Roman" w:hAnsi="Times New Roman" w:eastAsia="宋体" w:cs="Times New Roman"/>
                <w:i w:val="0"/>
                <w:iCs w:val="0"/>
                <w:color w:val="000000"/>
                <w:sz w:val="22"/>
                <w:szCs w:val="22"/>
                <w:u w:val="none"/>
              </w:rPr>
            </w:pPr>
          </w:p>
        </w:tc>
        <w:tc>
          <w:tcPr>
            <w:tcW w:w="4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3D95A">
            <w:pPr>
              <w:jc w:val="right"/>
              <w:rPr>
                <w:rFonts w:hint="default" w:ascii="Times New Roman" w:hAnsi="Times New Roman" w:eastAsia="宋体" w:cs="Times New Roman"/>
                <w:i w:val="0"/>
                <w:iCs w:val="0"/>
                <w:color w:val="000000"/>
                <w:sz w:val="22"/>
                <w:szCs w:val="22"/>
                <w:u w:val="none"/>
              </w:rPr>
            </w:pPr>
          </w:p>
        </w:tc>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01A0B">
            <w:pPr>
              <w:jc w:val="right"/>
              <w:rPr>
                <w:rFonts w:hint="default" w:ascii="Times New Roman" w:hAnsi="Times New Roman" w:eastAsia="宋体" w:cs="Times New Roman"/>
                <w:i w:val="0"/>
                <w:iCs w:val="0"/>
                <w:color w:val="000000"/>
                <w:sz w:val="22"/>
                <w:szCs w:val="22"/>
                <w:u w:val="none"/>
              </w:rPr>
            </w:pPr>
          </w:p>
        </w:tc>
      </w:tr>
      <w:tr w14:paraId="2E0F6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9"/>
            <w:tcBorders>
              <w:top w:val="nil"/>
              <w:left w:val="nil"/>
              <w:bottom w:val="nil"/>
              <w:right w:val="nil"/>
            </w:tcBorders>
            <w:shd w:val="clear" w:color="auto" w:fill="auto"/>
            <w:noWrap/>
            <w:vAlign w:val="center"/>
          </w:tcPr>
          <w:p w14:paraId="1C9B7782">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注：本表反映部门本年度取得的各项收入情况。</w:t>
            </w:r>
          </w:p>
        </w:tc>
      </w:tr>
    </w:tbl>
    <w:p w14:paraId="32B4D616">
      <w:pPr>
        <w:widowControl/>
        <w:spacing w:after="156" w:afterLines="50"/>
        <w:jc w:val="center"/>
        <w:textAlignment w:val="center"/>
      </w:pPr>
    </w:p>
    <w:p w14:paraId="21BA3ACF">
      <w:pPr>
        <w:pStyle w:val="2"/>
      </w:pPr>
    </w:p>
    <w:p w14:paraId="1400744E">
      <w:pPr>
        <w:pStyle w:val="3"/>
      </w:pPr>
    </w:p>
    <w:p w14:paraId="18224440">
      <w:pPr>
        <w:widowControl/>
        <w:spacing w:after="156" w:afterLines="50"/>
        <w:jc w:val="center"/>
        <w:textAlignment w:val="center"/>
      </w:pPr>
    </w:p>
    <w:p w14:paraId="79687142">
      <w:pPr>
        <w:pStyle w:val="2"/>
      </w:pPr>
    </w:p>
    <w:p w14:paraId="474842E0">
      <w:pPr>
        <w:pStyle w:val="3"/>
      </w:pPr>
    </w:p>
    <w:p w14:paraId="581035E6"/>
    <w:p w14:paraId="5929BC57">
      <w:pPr>
        <w:pStyle w:val="2"/>
      </w:pPr>
    </w:p>
    <w:p w14:paraId="56582C6B">
      <w:pPr>
        <w:pStyle w:val="3"/>
      </w:pPr>
    </w:p>
    <w:p w14:paraId="3198AD26"/>
    <w:p w14:paraId="60EB346F">
      <w:pPr>
        <w:pStyle w:val="2"/>
      </w:pPr>
    </w:p>
    <w:p w14:paraId="10B9AC67">
      <w:pPr>
        <w:pStyle w:val="3"/>
      </w:pPr>
    </w:p>
    <w:p w14:paraId="17DB48B6"/>
    <w:p w14:paraId="683BA757">
      <w:pPr>
        <w:pStyle w:val="2"/>
      </w:pPr>
    </w:p>
    <w:p w14:paraId="743345C4">
      <w:pPr>
        <w:pStyle w:val="3"/>
      </w:pPr>
    </w:p>
    <w:p w14:paraId="4AE2AECA"/>
    <w:p w14:paraId="5A020EA6">
      <w:pPr>
        <w:pStyle w:val="2"/>
      </w:pPr>
    </w:p>
    <w:p w14:paraId="2AA43BEB">
      <w:pPr>
        <w:pStyle w:val="3"/>
      </w:pPr>
    </w:p>
    <w:p w14:paraId="128BA651"/>
    <w:p w14:paraId="0D7662B4">
      <w:pPr>
        <w:pStyle w:val="2"/>
      </w:pPr>
    </w:p>
    <w:p w14:paraId="5A12F118">
      <w:pPr>
        <w:pStyle w:val="3"/>
      </w:pPr>
    </w:p>
    <w:p w14:paraId="4380C14F"/>
    <w:p w14:paraId="471819E7">
      <w:pPr>
        <w:pStyle w:val="2"/>
      </w:pPr>
    </w:p>
    <w:p w14:paraId="07578012"/>
    <w:p w14:paraId="520B0366">
      <w:pPr>
        <w:pStyle w:val="2"/>
      </w:pPr>
    </w:p>
    <w:p w14:paraId="2D5A74D1">
      <w:pPr>
        <w:pStyle w:val="3"/>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8"/>
        <w:gridCol w:w="398"/>
        <w:gridCol w:w="714"/>
        <w:gridCol w:w="3833"/>
        <w:gridCol w:w="1867"/>
        <w:gridCol w:w="1767"/>
        <w:gridCol w:w="1766"/>
        <w:gridCol w:w="1269"/>
        <w:gridCol w:w="1387"/>
        <w:gridCol w:w="1387"/>
      </w:tblGrid>
      <w:tr w14:paraId="7C6BD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4786" w:type="dxa"/>
            <w:gridSpan w:val="10"/>
            <w:tcBorders>
              <w:top w:val="nil"/>
              <w:left w:val="nil"/>
              <w:bottom w:val="nil"/>
              <w:right w:val="nil"/>
            </w:tcBorders>
            <w:shd w:val="clear" w:color="auto" w:fill="auto"/>
            <w:noWrap/>
            <w:vAlign w:val="center"/>
          </w:tcPr>
          <w:p w14:paraId="6EC49BC3">
            <w:pPr>
              <w:keepNext w:val="0"/>
              <w:keepLines w:val="0"/>
              <w:widowControl/>
              <w:suppressLineNumbers w:val="0"/>
              <w:jc w:val="center"/>
              <w:textAlignment w:val="center"/>
              <w:rPr>
                <w:rFonts w:ascii="黑体" w:hAnsi="宋体" w:eastAsia="黑体" w:cs="黑体"/>
                <w:i w:val="0"/>
                <w:iCs w:val="0"/>
                <w:color w:val="000000"/>
                <w:sz w:val="36"/>
                <w:szCs w:val="36"/>
                <w:u w:val="none"/>
              </w:rPr>
            </w:pPr>
            <w:r>
              <w:rPr>
                <w:rFonts w:hint="eastAsia" w:ascii="黑体" w:hAnsi="宋体" w:eastAsia="黑体" w:cs="黑体"/>
                <w:i w:val="0"/>
                <w:iCs w:val="0"/>
                <w:color w:val="000000"/>
                <w:kern w:val="0"/>
                <w:sz w:val="36"/>
                <w:szCs w:val="36"/>
                <w:u w:val="none"/>
                <w:lang w:val="en-US" w:eastAsia="zh-CN" w:bidi="ar"/>
              </w:rPr>
              <w:t>支出决算表</w:t>
            </w:r>
          </w:p>
        </w:tc>
      </w:tr>
      <w:tr w14:paraId="4ED41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398" w:type="dxa"/>
            <w:tcBorders>
              <w:top w:val="nil"/>
              <w:left w:val="nil"/>
              <w:bottom w:val="nil"/>
              <w:right w:val="nil"/>
            </w:tcBorders>
            <w:shd w:val="clear" w:color="auto" w:fill="auto"/>
            <w:noWrap/>
            <w:vAlign w:val="center"/>
          </w:tcPr>
          <w:p w14:paraId="6E67440E">
            <w:pPr>
              <w:rPr>
                <w:rFonts w:hint="eastAsia" w:ascii="仿宋_GB2312" w:hAnsi="宋体" w:eastAsia="仿宋_GB2312" w:cs="仿宋_GB2312"/>
                <w:i w:val="0"/>
                <w:iCs w:val="0"/>
                <w:color w:val="000000"/>
                <w:sz w:val="22"/>
                <w:szCs w:val="22"/>
                <w:u w:val="none"/>
              </w:rPr>
            </w:pPr>
          </w:p>
        </w:tc>
        <w:tc>
          <w:tcPr>
            <w:tcW w:w="398" w:type="dxa"/>
            <w:tcBorders>
              <w:top w:val="nil"/>
              <w:left w:val="nil"/>
              <w:bottom w:val="nil"/>
              <w:right w:val="nil"/>
            </w:tcBorders>
            <w:shd w:val="clear" w:color="auto" w:fill="auto"/>
            <w:noWrap/>
            <w:vAlign w:val="center"/>
          </w:tcPr>
          <w:p w14:paraId="390A21CE">
            <w:pPr>
              <w:rPr>
                <w:rFonts w:hint="eastAsia" w:ascii="仿宋_GB2312" w:hAnsi="宋体" w:eastAsia="仿宋_GB2312" w:cs="仿宋_GB2312"/>
                <w:i w:val="0"/>
                <w:iCs w:val="0"/>
                <w:color w:val="000000"/>
                <w:sz w:val="22"/>
                <w:szCs w:val="22"/>
                <w:u w:val="none"/>
              </w:rPr>
            </w:pPr>
          </w:p>
        </w:tc>
        <w:tc>
          <w:tcPr>
            <w:tcW w:w="714" w:type="dxa"/>
            <w:tcBorders>
              <w:top w:val="nil"/>
              <w:left w:val="nil"/>
              <w:bottom w:val="nil"/>
              <w:right w:val="nil"/>
            </w:tcBorders>
            <w:shd w:val="clear" w:color="auto" w:fill="auto"/>
            <w:noWrap/>
            <w:vAlign w:val="center"/>
          </w:tcPr>
          <w:p w14:paraId="79D8A600">
            <w:pPr>
              <w:rPr>
                <w:rFonts w:hint="eastAsia" w:ascii="仿宋_GB2312" w:hAnsi="宋体" w:eastAsia="仿宋_GB2312" w:cs="仿宋_GB2312"/>
                <w:i w:val="0"/>
                <w:iCs w:val="0"/>
                <w:color w:val="000000"/>
                <w:sz w:val="22"/>
                <w:szCs w:val="22"/>
                <w:u w:val="none"/>
              </w:rPr>
            </w:pPr>
          </w:p>
        </w:tc>
        <w:tc>
          <w:tcPr>
            <w:tcW w:w="3833" w:type="dxa"/>
            <w:tcBorders>
              <w:top w:val="nil"/>
              <w:left w:val="nil"/>
              <w:bottom w:val="nil"/>
              <w:right w:val="nil"/>
            </w:tcBorders>
            <w:shd w:val="clear" w:color="auto" w:fill="auto"/>
            <w:noWrap/>
            <w:vAlign w:val="center"/>
          </w:tcPr>
          <w:p w14:paraId="4808EF25">
            <w:pPr>
              <w:rPr>
                <w:rFonts w:hint="eastAsia" w:ascii="仿宋_GB2312" w:hAnsi="宋体" w:eastAsia="仿宋_GB2312" w:cs="仿宋_GB2312"/>
                <w:i w:val="0"/>
                <w:iCs w:val="0"/>
                <w:color w:val="000000"/>
                <w:sz w:val="22"/>
                <w:szCs w:val="22"/>
                <w:u w:val="none"/>
              </w:rPr>
            </w:pPr>
          </w:p>
        </w:tc>
        <w:tc>
          <w:tcPr>
            <w:tcW w:w="1867" w:type="dxa"/>
            <w:tcBorders>
              <w:top w:val="nil"/>
              <w:left w:val="nil"/>
              <w:bottom w:val="nil"/>
              <w:right w:val="nil"/>
            </w:tcBorders>
            <w:shd w:val="clear" w:color="auto" w:fill="auto"/>
            <w:noWrap/>
            <w:vAlign w:val="center"/>
          </w:tcPr>
          <w:p w14:paraId="1EE19F26">
            <w:pPr>
              <w:rPr>
                <w:rFonts w:hint="eastAsia" w:ascii="仿宋_GB2312" w:hAnsi="宋体" w:eastAsia="仿宋_GB2312" w:cs="仿宋_GB2312"/>
                <w:i w:val="0"/>
                <w:iCs w:val="0"/>
                <w:color w:val="000000"/>
                <w:sz w:val="22"/>
                <w:szCs w:val="22"/>
                <w:u w:val="none"/>
              </w:rPr>
            </w:pPr>
          </w:p>
        </w:tc>
        <w:tc>
          <w:tcPr>
            <w:tcW w:w="1767" w:type="dxa"/>
            <w:tcBorders>
              <w:top w:val="nil"/>
              <w:left w:val="nil"/>
              <w:bottom w:val="nil"/>
              <w:right w:val="nil"/>
            </w:tcBorders>
            <w:shd w:val="clear" w:color="auto" w:fill="auto"/>
            <w:noWrap/>
            <w:vAlign w:val="center"/>
          </w:tcPr>
          <w:p w14:paraId="2A2B9D75">
            <w:pPr>
              <w:rPr>
                <w:rFonts w:hint="eastAsia" w:ascii="仿宋_GB2312" w:hAnsi="宋体" w:eastAsia="仿宋_GB2312" w:cs="仿宋_GB2312"/>
                <w:i w:val="0"/>
                <w:iCs w:val="0"/>
                <w:color w:val="000000"/>
                <w:sz w:val="22"/>
                <w:szCs w:val="22"/>
                <w:u w:val="none"/>
              </w:rPr>
            </w:pPr>
          </w:p>
        </w:tc>
        <w:tc>
          <w:tcPr>
            <w:tcW w:w="1766" w:type="dxa"/>
            <w:tcBorders>
              <w:top w:val="nil"/>
              <w:left w:val="nil"/>
              <w:bottom w:val="nil"/>
              <w:right w:val="nil"/>
            </w:tcBorders>
            <w:shd w:val="clear" w:color="auto" w:fill="auto"/>
            <w:noWrap/>
            <w:vAlign w:val="center"/>
          </w:tcPr>
          <w:p w14:paraId="23E3BE8D">
            <w:pPr>
              <w:rPr>
                <w:rFonts w:hint="eastAsia" w:ascii="仿宋_GB2312" w:hAnsi="宋体" w:eastAsia="仿宋_GB2312" w:cs="仿宋_GB2312"/>
                <w:i w:val="0"/>
                <w:iCs w:val="0"/>
                <w:color w:val="000000"/>
                <w:sz w:val="22"/>
                <w:szCs w:val="22"/>
                <w:u w:val="none"/>
              </w:rPr>
            </w:pPr>
          </w:p>
        </w:tc>
        <w:tc>
          <w:tcPr>
            <w:tcW w:w="1269" w:type="dxa"/>
            <w:tcBorders>
              <w:top w:val="nil"/>
              <w:left w:val="nil"/>
              <w:bottom w:val="nil"/>
              <w:right w:val="nil"/>
            </w:tcBorders>
            <w:shd w:val="clear" w:color="auto" w:fill="auto"/>
            <w:noWrap/>
            <w:vAlign w:val="center"/>
          </w:tcPr>
          <w:p w14:paraId="511E8D57">
            <w:pPr>
              <w:rPr>
                <w:rFonts w:hint="eastAsia" w:ascii="仿宋_GB2312" w:hAnsi="宋体" w:eastAsia="仿宋_GB2312" w:cs="仿宋_GB2312"/>
                <w:i w:val="0"/>
                <w:iCs w:val="0"/>
                <w:color w:val="000000"/>
                <w:sz w:val="22"/>
                <w:szCs w:val="22"/>
                <w:u w:val="none"/>
              </w:rPr>
            </w:pPr>
          </w:p>
        </w:tc>
        <w:tc>
          <w:tcPr>
            <w:tcW w:w="1387" w:type="dxa"/>
            <w:tcBorders>
              <w:top w:val="nil"/>
              <w:left w:val="nil"/>
              <w:bottom w:val="nil"/>
              <w:right w:val="nil"/>
            </w:tcBorders>
            <w:shd w:val="clear" w:color="auto" w:fill="auto"/>
            <w:noWrap/>
            <w:vAlign w:val="center"/>
          </w:tcPr>
          <w:p w14:paraId="32B52C7C">
            <w:pPr>
              <w:rPr>
                <w:rFonts w:hint="eastAsia" w:ascii="仿宋_GB2312" w:hAnsi="宋体" w:eastAsia="仿宋_GB2312" w:cs="仿宋_GB2312"/>
                <w:i w:val="0"/>
                <w:iCs w:val="0"/>
                <w:color w:val="000000"/>
                <w:sz w:val="22"/>
                <w:szCs w:val="22"/>
                <w:u w:val="none"/>
              </w:rPr>
            </w:pPr>
          </w:p>
        </w:tc>
        <w:tc>
          <w:tcPr>
            <w:tcW w:w="1387" w:type="dxa"/>
            <w:tcBorders>
              <w:top w:val="nil"/>
              <w:left w:val="nil"/>
              <w:bottom w:val="nil"/>
              <w:right w:val="nil"/>
            </w:tcBorders>
            <w:shd w:val="clear" w:color="auto" w:fill="auto"/>
            <w:noWrap/>
            <w:vAlign w:val="bottom"/>
          </w:tcPr>
          <w:p w14:paraId="0A401DBE">
            <w:pPr>
              <w:keepNext w:val="0"/>
              <w:keepLines w:val="0"/>
              <w:widowControl/>
              <w:suppressLineNumbers w:val="0"/>
              <w:jc w:val="left"/>
              <w:textAlignment w:val="bottom"/>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公开03表</w:t>
            </w:r>
          </w:p>
        </w:tc>
      </w:tr>
      <w:tr w14:paraId="0E8A1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343" w:type="dxa"/>
            <w:gridSpan w:val="4"/>
            <w:tcBorders>
              <w:top w:val="nil"/>
              <w:left w:val="nil"/>
              <w:bottom w:val="nil"/>
              <w:right w:val="nil"/>
            </w:tcBorders>
            <w:shd w:val="clear" w:color="auto" w:fill="auto"/>
            <w:noWrap/>
            <w:vAlign w:val="center"/>
          </w:tcPr>
          <w:p w14:paraId="2AA87D6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单位：湖南省知识产权保护中心</w:t>
            </w:r>
          </w:p>
        </w:tc>
        <w:tc>
          <w:tcPr>
            <w:tcW w:w="1867" w:type="dxa"/>
            <w:tcBorders>
              <w:top w:val="nil"/>
              <w:left w:val="nil"/>
              <w:bottom w:val="nil"/>
              <w:right w:val="nil"/>
            </w:tcBorders>
            <w:shd w:val="clear" w:color="auto" w:fill="auto"/>
            <w:noWrap/>
            <w:vAlign w:val="center"/>
          </w:tcPr>
          <w:p w14:paraId="1F08F69F">
            <w:pPr>
              <w:rPr>
                <w:rFonts w:hint="eastAsia" w:ascii="仿宋_GB2312" w:hAnsi="宋体" w:eastAsia="仿宋_GB2312" w:cs="仿宋_GB2312"/>
                <w:i w:val="0"/>
                <w:iCs w:val="0"/>
                <w:color w:val="000000"/>
                <w:sz w:val="22"/>
                <w:szCs w:val="22"/>
                <w:u w:val="none"/>
              </w:rPr>
            </w:pPr>
          </w:p>
        </w:tc>
        <w:tc>
          <w:tcPr>
            <w:tcW w:w="1767" w:type="dxa"/>
            <w:tcBorders>
              <w:top w:val="nil"/>
              <w:left w:val="nil"/>
              <w:bottom w:val="nil"/>
              <w:right w:val="nil"/>
            </w:tcBorders>
            <w:shd w:val="clear" w:color="auto" w:fill="auto"/>
            <w:noWrap/>
            <w:vAlign w:val="center"/>
          </w:tcPr>
          <w:p w14:paraId="3AF48C48">
            <w:pPr>
              <w:rPr>
                <w:rFonts w:hint="eastAsia" w:ascii="仿宋_GB2312" w:hAnsi="宋体" w:eastAsia="仿宋_GB2312" w:cs="仿宋_GB2312"/>
                <w:i w:val="0"/>
                <w:iCs w:val="0"/>
                <w:color w:val="000000"/>
                <w:sz w:val="22"/>
                <w:szCs w:val="22"/>
                <w:u w:val="none"/>
              </w:rPr>
            </w:pPr>
          </w:p>
        </w:tc>
        <w:tc>
          <w:tcPr>
            <w:tcW w:w="1766" w:type="dxa"/>
            <w:tcBorders>
              <w:top w:val="nil"/>
              <w:left w:val="nil"/>
              <w:bottom w:val="nil"/>
              <w:right w:val="nil"/>
            </w:tcBorders>
            <w:shd w:val="clear" w:color="auto" w:fill="auto"/>
            <w:noWrap/>
            <w:vAlign w:val="center"/>
          </w:tcPr>
          <w:p w14:paraId="5423AAC7">
            <w:pPr>
              <w:rPr>
                <w:rFonts w:hint="eastAsia" w:ascii="仿宋_GB2312" w:hAnsi="宋体" w:eastAsia="仿宋_GB2312" w:cs="仿宋_GB2312"/>
                <w:i w:val="0"/>
                <w:iCs w:val="0"/>
                <w:color w:val="000000"/>
                <w:sz w:val="22"/>
                <w:szCs w:val="22"/>
                <w:u w:val="none"/>
              </w:rPr>
            </w:pPr>
          </w:p>
        </w:tc>
        <w:tc>
          <w:tcPr>
            <w:tcW w:w="1269" w:type="dxa"/>
            <w:tcBorders>
              <w:top w:val="nil"/>
              <w:left w:val="nil"/>
              <w:bottom w:val="nil"/>
              <w:right w:val="nil"/>
            </w:tcBorders>
            <w:shd w:val="clear" w:color="auto" w:fill="auto"/>
            <w:noWrap/>
            <w:vAlign w:val="center"/>
          </w:tcPr>
          <w:p w14:paraId="775BF6C3">
            <w:pPr>
              <w:rPr>
                <w:rFonts w:hint="eastAsia" w:ascii="仿宋_GB2312" w:hAnsi="宋体" w:eastAsia="仿宋_GB2312" w:cs="仿宋_GB2312"/>
                <w:i w:val="0"/>
                <w:iCs w:val="0"/>
                <w:color w:val="000000"/>
                <w:sz w:val="22"/>
                <w:szCs w:val="22"/>
                <w:u w:val="none"/>
              </w:rPr>
            </w:pPr>
          </w:p>
        </w:tc>
        <w:tc>
          <w:tcPr>
            <w:tcW w:w="1387" w:type="dxa"/>
            <w:tcBorders>
              <w:top w:val="nil"/>
              <w:left w:val="nil"/>
              <w:bottom w:val="nil"/>
              <w:right w:val="nil"/>
            </w:tcBorders>
            <w:shd w:val="clear" w:color="auto" w:fill="auto"/>
            <w:noWrap/>
            <w:vAlign w:val="center"/>
          </w:tcPr>
          <w:p w14:paraId="20585CC0">
            <w:pPr>
              <w:rPr>
                <w:rFonts w:hint="eastAsia" w:ascii="仿宋_GB2312" w:hAnsi="宋体" w:eastAsia="仿宋_GB2312" w:cs="仿宋_GB2312"/>
                <w:i w:val="0"/>
                <w:iCs w:val="0"/>
                <w:color w:val="000000"/>
                <w:sz w:val="22"/>
                <w:szCs w:val="22"/>
                <w:u w:val="none"/>
              </w:rPr>
            </w:pPr>
          </w:p>
        </w:tc>
        <w:tc>
          <w:tcPr>
            <w:tcW w:w="1387" w:type="dxa"/>
            <w:tcBorders>
              <w:top w:val="nil"/>
              <w:left w:val="nil"/>
              <w:bottom w:val="nil"/>
              <w:right w:val="nil"/>
            </w:tcBorders>
            <w:shd w:val="clear" w:color="auto" w:fill="auto"/>
            <w:noWrap/>
            <w:vAlign w:val="bottom"/>
          </w:tcPr>
          <w:p w14:paraId="734BE615">
            <w:pPr>
              <w:keepNext w:val="0"/>
              <w:keepLines w:val="0"/>
              <w:widowControl/>
              <w:suppressLineNumbers w:val="0"/>
              <w:jc w:val="left"/>
              <w:textAlignment w:val="bottom"/>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单位：万元</w:t>
            </w:r>
          </w:p>
        </w:tc>
      </w:tr>
      <w:tr w14:paraId="55DF9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34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8B28C">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项     目</w:t>
            </w:r>
          </w:p>
        </w:tc>
        <w:tc>
          <w:tcPr>
            <w:tcW w:w="18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2C469B">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本年支出合计</w:t>
            </w:r>
          </w:p>
        </w:tc>
        <w:tc>
          <w:tcPr>
            <w:tcW w:w="17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9B23AD">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基本支出</w:t>
            </w:r>
          </w:p>
        </w:tc>
        <w:tc>
          <w:tcPr>
            <w:tcW w:w="17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6EBFAF">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项目支出</w:t>
            </w:r>
          </w:p>
        </w:tc>
        <w:tc>
          <w:tcPr>
            <w:tcW w:w="12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D2A2DF">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2"/>
                <w:szCs w:val="22"/>
                <w:u w:val="none"/>
                <w:lang w:val="en-US" w:eastAsia="zh-CN" w:bidi="ar"/>
              </w:rPr>
            </w:pPr>
            <w:r>
              <w:rPr>
                <w:rFonts w:hint="eastAsia" w:ascii="仿宋_GB2312" w:hAnsi="宋体" w:eastAsia="仿宋_GB2312" w:cs="仿宋_GB2312"/>
                <w:b/>
                <w:bCs/>
                <w:i w:val="0"/>
                <w:iCs w:val="0"/>
                <w:color w:val="000000"/>
                <w:kern w:val="0"/>
                <w:sz w:val="22"/>
                <w:szCs w:val="22"/>
                <w:u w:val="none"/>
                <w:lang w:val="en-US" w:eastAsia="zh-CN" w:bidi="ar"/>
              </w:rPr>
              <w:t>上缴上级</w:t>
            </w:r>
          </w:p>
          <w:p w14:paraId="09A71628">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支出</w:t>
            </w:r>
          </w:p>
        </w:tc>
        <w:tc>
          <w:tcPr>
            <w:tcW w:w="13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2B46AE">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经营支出</w:t>
            </w:r>
          </w:p>
        </w:tc>
        <w:tc>
          <w:tcPr>
            <w:tcW w:w="13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78ECDE">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对附属单位</w:t>
            </w:r>
            <w:r>
              <w:rPr>
                <w:rFonts w:hint="eastAsia" w:ascii="仿宋_GB2312" w:hAnsi="宋体" w:eastAsia="仿宋_GB2312" w:cs="仿宋_GB2312"/>
                <w:b/>
                <w:bCs/>
                <w:i w:val="0"/>
                <w:iCs w:val="0"/>
                <w:color w:val="000000"/>
                <w:kern w:val="0"/>
                <w:sz w:val="22"/>
                <w:szCs w:val="22"/>
                <w:u w:val="none"/>
                <w:lang w:val="en-US" w:eastAsia="zh-CN" w:bidi="ar"/>
              </w:rPr>
              <w:br w:type="textWrapping"/>
            </w:r>
            <w:r>
              <w:rPr>
                <w:rFonts w:hint="eastAsia" w:ascii="仿宋_GB2312" w:hAnsi="宋体" w:eastAsia="仿宋_GB2312" w:cs="仿宋_GB2312"/>
                <w:b/>
                <w:bCs/>
                <w:i w:val="0"/>
                <w:iCs w:val="0"/>
                <w:color w:val="000000"/>
                <w:kern w:val="0"/>
                <w:sz w:val="22"/>
                <w:szCs w:val="22"/>
                <w:u w:val="none"/>
                <w:lang w:val="en-US" w:eastAsia="zh-CN" w:bidi="ar"/>
              </w:rPr>
              <w:t>补助支出</w:t>
            </w:r>
          </w:p>
        </w:tc>
      </w:tr>
      <w:tr w14:paraId="435F0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 w:hRule="atLeast"/>
        </w:trPr>
        <w:tc>
          <w:tcPr>
            <w:tcW w:w="151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635467">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功能分类</w:t>
            </w:r>
            <w:r>
              <w:rPr>
                <w:rFonts w:hint="eastAsia" w:ascii="仿宋_GB2312" w:hAnsi="宋体" w:eastAsia="仿宋_GB2312" w:cs="仿宋_GB2312"/>
                <w:b/>
                <w:bCs/>
                <w:i w:val="0"/>
                <w:iCs w:val="0"/>
                <w:color w:val="000000"/>
                <w:kern w:val="0"/>
                <w:sz w:val="22"/>
                <w:szCs w:val="22"/>
                <w:u w:val="none"/>
                <w:lang w:val="en-US" w:eastAsia="zh-CN" w:bidi="ar"/>
              </w:rPr>
              <w:br w:type="textWrapping"/>
            </w:r>
            <w:r>
              <w:rPr>
                <w:rFonts w:hint="eastAsia" w:ascii="仿宋_GB2312" w:hAnsi="宋体" w:eastAsia="仿宋_GB2312" w:cs="仿宋_GB2312"/>
                <w:b/>
                <w:bCs/>
                <w:i w:val="0"/>
                <w:iCs w:val="0"/>
                <w:color w:val="000000"/>
                <w:kern w:val="0"/>
                <w:sz w:val="22"/>
                <w:szCs w:val="22"/>
                <w:u w:val="none"/>
                <w:lang w:val="en-US" w:eastAsia="zh-CN" w:bidi="ar"/>
              </w:rPr>
              <w:t>科目编码</w:t>
            </w:r>
          </w:p>
        </w:tc>
        <w:tc>
          <w:tcPr>
            <w:tcW w:w="383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67476">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科目名称</w:t>
            </w:r>
          </w:p>
        </w:tc>
        <w:tc>
          <w:tcPr>
            <w:tcW w:w="18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AE36E8">
            <w:pPr>
              <w:jc w:val="center"/>
              <w:rPr>
                <w:rFonts w:hint="eastAsia" w:ascii="仿宋_GB2312" w:hAnsi="宋体" w:eastAsia="仿宋_GB2312" w:cs="仿宋_GB2312"/>
                <w:b/>
                <w:bCs/>
                <w:i w:val="0"/>
                <w:iCs w:val="0"/>
                <w:color w:val="000000"/>
                <w:sz w:val="22"/>
                <w:szCs w:val="22"/>
                <w:u w:val="none"/>
              </w:rPr>
            </w:pPr>
          </w:p>
        </w:tc>
        <w:tc>
          <w:tcPr>
            <w:tcW w:w="17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1B7C1F">
            <w:pPr>
              <w:jc w:val="center"/>
              <w:rPr>
                <w:rFonts w:hint="eastAsia" w:ascii="仿宋_GB2312" w:hAnsi="宋体" w:eastAsia="仿宋_GB2312" w:cs="仿宋_GB2312"/>
                <w:b/>
                <w:bCs/>
                <w:i w:val="0"/>
                <w:iCs w:val="0"/>
                <w:color w:val="000000"/>
                <w:sz w:val="22"/>
                <w:szCs w:val="22"/>
                <w:u w:val="none"/>
              </w:rPr>
            </w:pPr>
          </w:p>
        </w:tc>
        <w:tc>
          <w:tcPr>
            <w:tcW w:w="17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7FED32">
            <w:pPr>
              <w:jc w:val="center"/>
              <w:rPr>
                <w:rFonts w:hint="eastAsia" w:ascii="仿宋_GB2312" w:hAnsi="宋体" w:eastAsia="仿宋_GB2312" w:cs="仿宋_GB2312"/>
                <w:b/>
                <w:bCs/>
                <w:i w:val="0"/>
                <w:iCs w:val="0"/>
                <w:color w:val="000000"/>
                <w:sz w:val="22"/>
                <w:szCs w:val="22"/>
                <w:u w:val="none"/>
              </w:rPr>
            </w:pPr>
          </w:p>
        </w:tc>
        <w:tc>
          <w:tcPr>
            <w:tcW w:w="12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7D4B55">
            <w:pPr>
              <w:jc w:val="center"/>
              <w:rPr>
                <w:rFonts w:hint="eastAsia" w:ascii="仿宋_GB2312" w:hAnsi="宋体" w:eastAsia="仿宋_GB2312" w:cs="仿宋_GB2312"/>
                <w:b/>
                <w:bCs/>
                <w:i w:val="0"/>
                <w:iCs w:val="0"/>
                <w:color w:val="000000"/>
                <w:sz w:val="22"/>
                <w:szCs w:val="22"/>
                <w:u w:val="none"/>
              </w:rPr>
            </w:pPr>
          </w:p>
        </w:tc>
        <w:tc>
          <w:tcPr>
            <w:tcW w:w="13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23D69E">
            <w:pPr>
              <w:jc w:val="center"/>
              <w:rPr>
                <w:rFonts w:hint="eastAsia" w:ascii="仿宋_GB2312" w:hAnsi="宋体" w:eastAsia="仿宋_GB2312" w:cs="仿宋_GB2312"/>
                <w:b/>
                <w:bCs/>
                <w:i w:val="0"/>
                <w:iCs w:val="0"/>
                <w:color w:val="000000"/>
                <w:sz w:val="22"/>
                <w:szCs w:val="22"/>
                <w:u w:val="none"/>
              </w:rPr>
            </w:pPr>
          </w:p>
        </w:tc>
        <w:tc>
          <w:tcPr>
            <w:tcW w:w="13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E5C885">
            <w:pPr>
              <w:jc w:val="center"/>
              <w:rPr>
                <w:rFonts w:hint="eastAsia" w:ascii="仿宋_GB2312" w:hAnsi="宋体" w:eastAsia="仿宋_GB2312" w:cs="仿宋_GB2312"/>
                <w:b/>
                <w:bCs/>
                <w:i w:val="0"/>
                <w:iCs w:val="0"/>
                <w:color w:val="000000"/>
                <w:sz w:val="22"/>
                <w:szCs w:val="22"/>
                <w:u w:val="none"/>
              </w:rPr>
            </w:pPr>
          </w:p>
        </w:tc>
      </w:tr>
      <w:tr w14:paraId="508FA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 w:hRule="atLeast"/>
        </w:trPr>
        <w:tc>
          <w:tcPr>
            <w:tcW w:w="15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3AFF04">
            <w:pPr>
              <w:jc w:val="center"/>
              <w:rPr>
                <w:rFonts w:hint="eastAsia" w:ascii="仿宋_GB2312" w:hAnsi="宋体" w:eastAsia="仿宋_GB2312" w:cs="仿宋_GB2312"/>
                <w:b/>
                <w:bCs/>
                <w:i w:val="0"/>
                <w:iCs w:val="0"/>
                <w:color w:val="000000"/>
                <w:sz w:val="22"/>
                <w:szCs w:val="22"/>
                <w:u w:val="none"/>
              </w:rPr>
            </w:pPr>
          </w:p>
        </w:tc>
        <w:tc>
          <w:tcPr>
            <w:tcW w:w="38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5A432">
            <w:pPr>
              <w:jc w:val="center"/>
              <w:rPr>
                <w:rFonts w:hint="eastAsia" w:ascii="仿宋_GB2312" w:hAnsi="宋体" w:eastAsia="仿宋_GB2312" w:cs="仿宋_GB2312"/>
                <w:b/>
                <w:bCs/>
                <w:i w:val="0"/>
                <w:iCs w:val="0"/>
                <w:color w:val="000000"/>
                <w:sz w:val="22"/>
                <w:szCs w:val="22"/>
                <w:u w:val="none"/>
              </w:rPr>
            </w:pPr>
          </w:p>
        </w:tc>
        <w:tc>
          <w:tcPr>
            <w:tcW w:w="18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ECB057">
            <w:pPr>
              <w:jc w:val="center"/>
              <w:rPr>
                <w:rFonts w:hint="eastAsia" w:ascii="仿宋_GB2312" w:hAnsi="宋体" w:eastAsia="仿宋_GB2312" w:cs="仿宋_GB2312"/>
                <w:b/>
                <w:bCs/>
                <w:i w:val="0"/>
                <w:iCs w:val="0"/>
                <w:color w:val="000000"/>
                <w:sz w:val="22"/>
                <w:szCs w:val="22"/>
                <w:u w:val="none"/>
              </w:rPr>
            </w:pPr>
          </w:p>
        </w:tc>
        <w:tc>
          <w:tcPr>
            <w:tcW w:w="17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CD94F3">
            <w:pPr>
              <w:jc w:val="center"/>
              <w:rPr>
                <w:rFonts w:hint="eastAsia" w:ascii="仿宋_GB2312" w:hAnsi="宋体" w:eastAsia="仿宋_GB2312" w:cs="仿宋_GB2312"/>
                <w:b/>
                <w:bCs/>
                <w:i w:val="0"/>
                <w:iCs w:val="0"/>
                <w:color w:val="000000"/>
                <w:sz w:val="22"/>
                <w:szCs w:val="22"/>
                <w:u w:val="none"/>
              </w:rPr>
            </w:pPr>
          </w:p>
        </w:tc>
        <w:tc>
          <w:tcPr>
            <w:tcW w:w="17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5127BC">
            <w:pPr>
              <w:jc w:val="center"/>
              <w:rPr>
                <w:rFonts w:hint="eastAsia" w:ascii="仿宋_GB2312" w:hAnsi="宋体" w:eastAsia="仿宋_GB2312" w:cs="仿宋_GB2312"/>
                <w:b/>
                <w:bCs/>
                <w:i w:val="0"/>
                <w:iCs w:val="0"/>
                <w:color w:val="000000"/>
                <w:sz w:val="22"/>
                <w:szCs w:val="22"/>
                <w:u w:val="none"/>
              </w:rPr>
            </w:pPr>
          </w:p>
        </w:tc>
        <w:tc>
          <w:tcPr>
            <w:tcW w:w="12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C154EB">
            <w:pPr>
              <w:jc w:val="center"/>
              <w:rPr>
                <w:rFonts w:hint="eastAsia" w:ascii="仿宋_GB2312" w:hAnsi="宋体" w:eastAsia="仿宋_GB2312" w:cs="仿宋_GB2312"/>
                <w:b/>
                <w:bCs/>
                <w:i w:val="0"/>
                <w:iCs w:val="0"/>
                <w:color w:val="000000"/>
                <w:sz w:val="22"/>
                <w:szCs w:val="22"/>
                <w:u w:val="none"/>
              </w:rPr>
            </w:pPr>
          </w:p>
        </w:tc>
        <w:tc>
          <w:tcPr>
            <w:tcW w:w="13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3667AB">
            <w:pPr>
              <w:jc w:val="center"/>
              <w:rPr>
                <w:rFonts w:hint="eastAsia" w:ascii="仿宋_GB2312" w:hAnsi="宋体" w:eastAsia="仿宋_GB2312" w:cs="仿宋_GB2312"/>
                <w:b/>
                <w:bCs/>
                <w:i w:val="0"/>
                <w:iCs w:val="0"/>
                <w:color w:val="000000"/>
                <w:sz w:val="22"/>
                <w:szCs w:val="22"/>
                <w:u w:val="none"/>
              </w:rPr>
            </w:pPr>
          </w:p>
        </w:tc>
        <w:tc>
          <w:tcPr>
            <w:tcW w:w="13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C98E06">
            <w:pPr>
              <w:jc w:val="center"/>
              <w:rPr>
                <w:rFonts w:hint="eastAsia" w:ascii="仿宋_GB2312" w:hAnsi="宋体" w:eastAsia="仿宋_GB2312" w:cs="仿宋_GB2312"/>
                <w:b/>
                <w:bCs/>
                <w:i w:val="0"/>
                <w:iCs w:val="0"/>
                <w:color w:val="000000"/>
                <w:sz w:val="22"/>
                <w:szCs w:val="22"/>
                <w:u w:val="none"/>
              </w:rPr>
            </w:pPr>
          </w:p>
        </w:tc>
      </w:tr>
      <w:tr w14:paraId="41506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 w:hRule="atLeast"/>
        </w:trPr>
        <w:tc>
          <w:tcPr>
            <w:tcW w:w="15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B5D23B">
            <w:pPr>
              <w:jc w:val="center"/>
              <w:rPr>
                <w:rFonts w:hint="eastAsia" w:ascii="仿宋_GB2312" w:hAnsi="宋体" w:eastAsia="仿宋_GB2312" w:cs="仿宋_GB2312"/>
                <w:b/>
                <w:bCs/>
                <w:i w:val="0"/>
                <w:iCs w:val="0"/>
                <w:color w:val="000000"/>
                <w:sz w:val="22"/>
                <w:szCs w:val="22"/>
                <w:u w:val="none"/>
              </w:rPr>
            </w:pPr>
          </w:p>
        </w:tc>
        <w:tc>
          <w:tcPr>
            <w:tcW w:w="38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30EC9">
            <w:pPr>
              <w:jc w:val="center"/>
              <w:rPr>
                <w:rFonts w:hint="eastAsia" w:ascii="仿宋_GB2312" w:hAnsi="宋体" w:eastAsia="仿宋_GB2312" w:cs="仿宋_GB2312"/>
                <w:b/>
                <w:bCs/>
                <w:i w:val="0"/>
                <w:iCs w:val="0"/>
                <w:color w:val="000000"/>
                <w:sz w:val="22"/>
                <w:szCs w:val="22"/>
                <w:u w:val="none"/>
              </w:rPr>
            </w:pPr>
          </w:p>
        </w:tc>
        <w:tc>
          <w:tcPr>
            <w:tcW w:w="18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F78256">
            <w:pPr>
              <w:jc w:val="center"/>
              <w:rPr>
                <w:rFonts w:hint="eastAsia" w:ascii="仿宋_GB2312" w:hAnsi="宋体" w:eastAsia="仿宋_GB2312" w:cs="仿宋_GB2312"/>
                <w:b/>
                <w:bCs/>
                <w:i w:val="0"/>
                <w:iCs w:val="0"/>
                <w:color w:val="000000"/>
                <w:sz w:val="22"/>
                <w:szCs w:val="22"/>
                <w:u w:val="none"/>
              </w:rPr>
            </w:pPr>
          </w:p>
        </w:tc>
        <w:tc>
          <w:tcPr>
            <w:tcW w:w="17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15EC01">
            <w:pPr>
              <w:jc w:val="center"/>
              <w:rPr>
                <w:rFonts w:hint="eastAsia" w:ascii="仿宋_GB2312" w:hAnsi="宋体" w:eastAsia="仿宋_GB2312" w:cs="仿宋_GB2312"/>
                <w:b/>
                <w:bCs/>
                <w:i w:val="0"/>
                <w:iCs w:val="0"/>
                <w:color w:val="000000"/>
                <w:sz w:val="22"/>
                <w:szCs w:val="22"/>
                <w:u w:val="none"/>
              </w:rPr>
            </w:pPr>
          </w:p>
        </w:tc>
        <w:tc>
          <w:tcPr>
            <w:tcW w:w="17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A886EF">
            <w:pPr>
              <w:jc w:val="center"/>
              <w:rPr>
                <w:rFonts w:hint="eastAsia" w:ascii="仿宋_GB2312" w:hAnsi="宋体" w:eastAsia="仿宋_GB2312" w:cs="仿宋_GB2312"/>
                <w:b/>
                <w:bCs/>
                <w:i w:val="0"/>
                <w:iCs w:val="0"/>
                <w:color w:val="000000"/>
                <w:sz w:val="22"/>
                <w:szCs w:val="22"/>
                <w:u w:val="none"/>
              </w:rPr>
            </w:pPr>
          </w:p>
        </w:tc>
        <w:tc>
          <w:tcPr>
            <w:tcW w:w="12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C2A9C4">
            <w:pPr>
              <w:jc w:val="center"/>
              <w:rPr>
                <w:rFonts w:hint="eastAsia" w:ascii="仿宋_GB2312" w:hAnsi="宋体" w:eastAsia="仿宋_GB2312" w:cs="仿宋_GB2312"/>
                <w:b/>
                <w:bCs/>
                <w:i w:val="0"/>
                <w:iCs w:val="0"/>
                <w:color w:val="000000"/>
                <w:sz w:val="22"/>
                <w:szCs w:val="22"/>
                <w:u w:val="none"/>
              </w:rPr>
            </w:pPr>
          </w:p>
        </w:tc>
        <w:tc>
          <w:tcPr>
            <w:tcW w:w="13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32DACB">
            <w:pPr>
              <w:jc w:val="center"/>
              <w:rPr>
                <w:rFonts w:hint="eastAsia" w:ascii="仿宋_GB2312" w:hAnsi="宋体" w:eastAsia="仿宋_GB2312" w:cs="仿宋_GB2312"/>
                <w:b/>
                <w:bCs/>
                <w:i w:val="0"/>
                <w:iCs w:val="0"/>
                <w:color w:val="000000"/>
                <w:sz w:val="22"/>
                <w:szCs w:val="22"/>
                <w:u w:val="none"/>
              </w:rPr>
            </w:pPr>
          </w:p>
        </w:tc>
        <w:tc>
          <w:tcPr>
            <w:tcW w:w="13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2ABD2F">
            <w:pPr>
              <w:jc w:val="center"/>
              <w:rPr>
                <w:rFonts w:hint="eastAsia" w:ascii="仿宋_GB2312" w:hAnsi="宋体" w:eastAsia="仿宋_GB2312" w:cs="仿宋_GB2312"/>
                <w:b/>
                <w:bCs/>
                <w:i w:val="0"/>
                <w:iCs w:val="0"/>
                <w:color w:val="000000"/>
                <w:sz w:val="22"/>
                <w:szCs w:val="22"/>
                <w:u w:val="none"/>
              </w:rPr>
            </w:pPr>
          </w:p>
        </w:tc>
      </w:tr>
      <w:tr w14:paraId="1D071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534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95702">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栏次</w:t>
            </w:r>
          </w:p>
        </w:tc>
        <w:tc>
          <w:tcPr>
            <w:tcW w:w="1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709F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605E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379A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2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394E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6BD7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19D1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r>
      <w:tr w14:paraId="43426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534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D194C">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合计</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80FBB">
            <w:pPr>
              <w:keepNext w:val="0"/>
              <w:keepLines w:val="0"/>
              <w:widowControl/>
              <w:suppressLineNumbers w:val="0"/>
              <w:jc w:val="righ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1,985.24</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28934">
            <w:pPr>
              <w:keepNext w:val="0"/>
              <w:keepLines w:val="0"/>
              <w:widowControl/>
              <w:suppressLineNumbers w:val="0"/>
              <w:jc w:val="righ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1,196.95</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56360">
            <w:pPr>
              <w:keepNext w:val="0"/>
              <w:keepLines w:val="0"/>
              <w:widowControl/>
              <w:suppressLineNumbers w:val="0"/>
              <w:jc w:val="righ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788.30</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A7902">
            <w:pPr>
              <w:jc w:val="right"/>
              <w:rPr>
                <w:rFonts w:hint="default" w:ascii="Times New Roman" w:hAnsi="Times New Roman" w:eastAsia="宋体" w:cs="Times New Roman"/>
                <w:b/>
                <w:bCs/>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77546">
            <w:pPr>
              <w:jc w:val="right"/>
              <w:rPr>
                <w:rFonts w:hint="default" w:ascii="Times New Roman" w:hAnsi="Times New Roman" w:eastAsia="宋体" w:cs="Times New Roman"/>
                <w:b/>
                <w:bCs/>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BD30D">
            <w:pPr>
              <w:jc w:val="right"/>
              <w:rPr>
                <w:rFonts w:hint="default" w:ascii="Times New Roman" w:hAnsi="Times New Roman" w:eastAsia="宋体" w:cs="Times New Roman"/>
                <w:b/>
                <w:bCs/>
                <w:i w:val="0"/>
                <w:iCs w:val="0"/>
                <w:color w:val="000000"/>
                <w:sz w:val="22"/>
                <w:szCs w:val="22"/>
                <w:u w:val="none"/>
              </w:rPr>
            </w:pPr>
          </w:p>
        </w:tc>
      </w:tr>
      <w:tr w14:paraId="68951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4803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A6DBC">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一般公共服务支出</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A1169">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1,697.89</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89754">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930.53</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9ED02">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767.36</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6566A">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F7D51">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8C068">
            <w:pPr>
              <w:jc w:val="right"/>
              <w:rPr>
                <w:rFonts w:hint="default" w:ascii="Times New Roman" w:hAnsi="Times New Roman" w:eastAsia="宋体" w:cs="Times New Roman"/>
                <w:i w:val="0"/>
                <w:iCs w:val="0"/>
                <w:color w:val="000000"/>
                <w:sz w:val="22"/>
                <w:szCs w:val="22"/>
                <w:u w:val="none"/>
              </w:rPr>
            </w:pPr>
          </w:p>
        </w:tc>
      </w:tr>
      <w:tr w14:paraId="36269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CD30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20114</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8AEE2">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知识产权事务</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23B80">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534.99</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EE565">
            <w:pPr>
              <w:jc w:val="right"/>
              <w:rPr>
                <w:rFonts w:hint="default" w:ascii="Times New Roman" w:hAnsi="Times New Roman" w:eastAsia="宋体" w:cs="Times New Roman"/>
                <w:i w:val="0"/>
                <w:iCs w:val="0"/>
                <w:color w:val="000000"/>
                <w:sz w:val="22"/>
                <w:szCs w:val="22"/>
                <w:u w:val="none"/>
              </w:rPr>
            </w:pP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D909B">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534.99</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8AA80">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3B056">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1637F">
            <w:pPr>
              <w:jc w:val="right"/>
              <w:rPr>
                <w:rFonts w:hint="default" w:ascii="Times New Roman" w:hAnsi="Times New Roman" w:eastAsia="宋体" w:cs="Times New Roman"/>
                <w:i w:val="0"/>
                <w:iCs w:val="0"/>
                <w:color w:val="000000"/>
                <w:sz w:val="22"/>
                <w:szCs w:val="22"/>
                <w:u w:val="none"/>
              </w:rPr>
            </w:pPr>
          </w:p>
        </w:tc>
      </w:tr>
      <w:tr w14:paraId="70476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58ED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2011402</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0ACCC">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一般行政管理事务</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43842">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11.92</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31543">
            <w:pPr>
              <w:jc w:val="right"/>
              <w:rPr>
                <w:rFonts w:hint="default" w:ascii="Times New Roman" w:hAnsi="Times New Roman" w:eastAsia="宋体" w:cs="Times New Roman"/>
                <w:i w:val="0"/>
                <w:iCs w:val="0"/>
                <w:color w:val="000000"/>
                <w:sz w:val="22"/>
                <w:szCs w:val="22"/>
                <w:u w:val="none"/>
              </w:rPr>
            </w:pP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6D649">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11.92</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A1465">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E72C8">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7F9A2">
            <w:pPr>
              <w:jc w:val="right"/>
              <w:rPr>
                <w:rFonts w:hint="default" w:ascii="Times New Roman" w:hAnsi="Times New Roman" w:eastAsia="宋体" w:cs="Times New Roman"/>
                <w:i w:val="0"/>
                <w:iCs w:val="0"/>
                <w:color w:val="000000"/>
                <w:sz w:val="22"/>
                <w:szCs w:val="22"/>
                <w:u w:val="none"/>
              </w:rPr>
            </w:pPr>
          </w:p>
        </w:tc>
      </w:tr>
      <w:tr w14:paraId="6AD1B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2CA6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2011405</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231FA">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知识产权战略和规划</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9835F">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119.44</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0C7C3">
            <w:pPr>
              <w:jc w:val="right"/>
              <w:rPr>
                <w:rFonts w:hint="default" w:ascii="Times New Roman" w:hAnsi="Times New Roman" w:eastAsia="宋体" w:cs="Times New Roman"/>
                <w:i w:val="0"/>
                <w:iCs w:val="0"/>
                <w:color w:val="000000"/>
                <w:sz w:val="22"/>
                <w:szCs w:val="22"/>
                <w:u w:val="none"/>
              </w:rPr>
            </w:pP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6D231">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119.44</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398C0">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C2D86">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F55B0">
            <w:pPr>
              <w:jc w:val="right"/>
              <w:rPr>
                <w:rFonts w:hint="default" w:ascii="Times New Roman" w:hAnsi="Times New Roman" w:eastAsia="宋体" w:cs="Times New Roman"/>
                <w:i w:val="0"/>
                <w:iCs w:val="0"/>
                <w:color w:val="000000"/>
                <w:sz w:val="22"/>
                <w:szCs w:val="22"/>
                <w:u w:val="none"/>
              </w:rPr>
            </w:pPr>
          </w:p>
        </w:tc>
      </w:tr>
      <w:tr w14:paraId="5FB9B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C8C5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2011499</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C102A">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其他知识产权事务支出</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878C6">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403.63</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97DF4">
            <w:pPr>
              <w:jc w:val="right"/>
              <w:rPr>
                <w:rFonts w:hint="default" w:ascii="Times New Roman" w:hAnsi="Times New Roman" w:eastAsia="宋体" w:cs="Times New Roman"/>
                <w:i w:val="0"/>
                <w:iCs w:val="0"/>
                <w:color w:val="000000"/>
                <w:sz w:val="22"/>
                <w:szCs w:val="22"/>
                <w:u w:val="none"/>
              </w:rPr>
            </w:pP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A7EBB">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403.63</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96106">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FD73A">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3CBCF">
            <w:pPr>
              <w:jc w:val="right"/>
              <w:rPr>
                <w:rFonts w:hint="default" w:ascii="Times New Roman" w:hAnsi="Times New Roman" w:eastAsia="宋体" w:cs="Times New Roman"/>
                <w:i w:val="0"/>
                <w:iCs w:val="0"/>
                <w:color w:val="000000"/>
                <w:sz w:val="22"/>
                <w:szCs w:val="22"/>
                <w:u w:val="none"/>
              </w:rPr>
            </w:pPr>
          </w:p>
        </w:tc>
      </w:tr>
      <w:tr w14:paraId="135EB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C01E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20138</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29E82">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市场监督管理事务</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E69B7">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1,162.90</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16E5B">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930.53</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13E6A">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232.37</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ED712">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257AF">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103AC">
            <w:pPr>
              <w:jc w:val="right"/>
              <w:rPr>
                <w:rFonts w:hint="default" w:ascii="Times New Roman" w:hAnsi="Times New Roman" w:eastAsia="宋体" w:cs="Times New Roman"/>
                <w:i w:val="0"/>
                <w:iCs w:val="0"/>
                <w:color w:val="000000"/>
                <w:sz w:val="22"/>
                <w:szCs w:val="22"/>
                <w:u w:val="none"/>
              </w:rPr>
            </w:pPr>
          </w:p>
        </w:tc>
      </w:tr>
      <w:tr w14:paraId="13436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7CB9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2013810</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AA34E">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质量基础</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3BFEC">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3.00</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FFC5A">
            <w:pPr>
              <w:jc w:val="right"/>
              <w:rPr>
                <w:rFonts w:hint="default" w:ascii="Times New Roman" w:hAnsi="Times New Roman" w:eastAsia="宋体" w:cs="Times New Roman"/>
                <w:i w:val="0"/>
                <w:iCs w:val="0"/>
                <w:color w:val="000000"/>
                <w:sz w:val="22"/>
                <w:szCs w:val="22"/>
                <w:u w:val="none"/>
              </w:rPr>
            </w:pP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E8100">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3.00</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6C4C1">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94C81">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4404C">
            <w:pPr>
              <w:jc w:val="right"/>
              <w:rPr>
                <w:rFonts w:hint="default" w:ascii="Times New Roman" w:hAnsi="Times New Roman" w:eastAsia="宋体" w:cs="Times New Roman"/>
                <w:i w:val="0"/>
                <w:iCs w:val="0"/>
                <w:color w:val="000000"/>
                <w:sz w:val="22"/>
                <w:szCs w:val="22"/>
                <w:u w:val="none"/>
              </w:rPr>
            </w:pPr>
          </w:p>
        </w:tc>
      </w:tr>
      <w:tr w14:paraId="28983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681C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2013850</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0FF8">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事业运行</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A10CB">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930.53</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09214">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930.53</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470D7">
            <w:pPr>
              <w:jc w:val="right"/>
              <w:rPr>
                <w:rFonts w:hint="default" w:ascii="Times New Roman" w:hAnsi="Times New Roman" w:eastAsia="宋体" w:cs="Times New Roman"/>
                <w:i w:val="0"/>
                <w:iCs w:val="0"/>
                <w:color w:val="000000"/>
                <w:sz w:val="22"/>
                <w:szCs w:val="22"/>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B827A">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BD6AD">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F2016">
            <w:pPr>
              <w:jc w:val="right"/>
              <w:rPr>
                <w:rFonts w:hint="default" w:ascii="Times New Roman" w:hAnsi="Times New Roman" w:eastAsia="宋体" w:cs="Times New Roman"/>
                <w:i w:val="0"/>
                <w:iCs w:val="0"/>
                <w:color w:val="000000"/>
                <w:sz w:val="22"/>
                <w:szCs w:val="22"/>
                <w:u w:val="none"/>
              </w:rPr>
            </w:pPr>
          </w:p>
        </w:tc>
      </w:tr>
      <w:tr w14:paraId="5AC95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57D0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2013899</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0A3DF">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其他市场监督管理事务</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4EF34">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229.37</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33939">
            <w:pPr>
              <w:jc w:val="right"/>
              <w:rPr>
                <w:rFonts w:hint="default" w:ascii="Times New Roman" w:hAnsi="Times New Roman" w:eastAsia="宋体" w:cs="Times New Roman"/>
                <w:i w:val="0"/>
                <w:iCs w:val="0"/>
                <w:color w:val="000000"/>
                <w:sz w:val="22"/>
                <w:szCs w:val="22"/>
                <w:u w:val="none"/>
              </w:rPr>
            </w:pP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51A00">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229.37</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602FD">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22A10">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1FD1A">
            <w:pPr>
              <w:jc w:val="right"/>
              <w:rPr>
                <w:rFonts w:hint="default" w:ascii="Times New Roman" w:hAnsi="Times New Roman" w:eastAsia="宋体" w:cs="Times New Roman"/>
                <w:i w:val="0"/>
                <w:iCs w:val="0"/>
                <w:color w:val="000000"/>
                <w:sz w:val="22"/>
                <w:szCs w:val="22"/>
                <w:u w:val="none"/>
              </w:rPr>
            </w:pPr>
          </w:p>
        </w:tc>
      </w:tr>
      <w:tr w14:paraId="6AD47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47E9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205</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0219C">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教育支出</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027D0">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20.94</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601B">
            <w:pPr>
              <w:jc w:val="right"/>
              <w:rPr>
                <w:rFonts w:hint="default" w:ascii="Times New Roman" w:hAnsi="Times New Roman" w:eastAsia="宋体" w:cs="Times New Roman"/>
                <w:i w:val="0"/>
                <w:iCs w:val="0"/>
                <w:color w:val="000000"/>
                <w:sz w:val="22"/>
                <w:szCs w:val="22"/>
                <w:u w:val="none"/>
              </w:rPr>
            </w:pP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0BC5B">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20.94</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3CC3C">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E2838">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5338C">
            <w:pPr>
              <w:jc w:val="right"/>
              <w:rPr>
                <w:rFonts w:hint="default" w:ascii="Times New Roman" w:hAnsi="Times New Roman" w:eastAsia="宋体" w:cs="Times New Roman"/>
                <w:i w:val="0"/>
                <w:iCs w:val="0"/>
                <w:color w:val="000000"/>
                <w:sz w:val="22"/>
                <w:szCs w:val="22"/>
                <w:u w:val="none"/>
              </w:rPr>
            </w:pPr>
          </w:p>
        </w:tc>
      </w:tr>
      <w:tr w14:paraId="1AD5C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C987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20508</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63A47">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进修及培训</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78E61">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20.94</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AA2D1">
            <w:pPr>
              <w:jc w:val="right"/>
              <w:rPr>
                <w:rFonts w:hint="default" w:ascii="Times New Roman" w:hAnsi="Times New Roman" w:eastAsia="宋体" w:cs="Times New Roman"/>
                <w:i w:val="0"/>
                <w:iCs w:val="0"/>
                <w:color w:val="000000"/>
                <w:sz w:val="22"/>
                <w:szCs w:val="22"/>
                <w:u w:val="none"/>
              </w:rPr>
            </w:pP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9B40F">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20.94</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E1D94">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E9F40">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BDABF">
            <w:pPr>
              <w:jc w:val="right"/>
              <w:rPr>
                <w:rFonts w:hint="default" w:ascii="Times New Roman" w:hAnsi="Times New Roman" w:eastAsia="宋体" w:cs="Times New Roman"/>
                <w:i w:val="0"/>
                <w:iCs w:val="0"/>
                <w:color w:val="000000"/>
                <w:sz w:val="22"/>
                <w:szCs w:val="22"/>
                <w:u w:val="none"/>
              </w:rPr>
            </w:pPr>
          </w:p>
        </w:tc>
      </w:tr>
      <w:tr w14:paraId="07BA8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C342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2050803</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CD95F">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培训支出</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A557B">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20.94</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7072E">
            <w:pPr>
              <w:jc w:val="right"/>
              <w:rPr>
                <w:rFonts w:hint="default" w:ascii="Times New Roman" w:hAnsi="Times New Roman" w:eastAsia="宋体" w:cs="Times New Roman"/>
                <w:i w:val="0"/>
                <w:iCs w:val="0"/>
                <w:color w:val="000000"/>
                <w:sz w:val="22"/>
                <w:szCs w:val="22"/>
                <w:u w:val="none"/>
              </w:rPr>
            </w:pP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FB352">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20.94</w:t>
            </w: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0A01E">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01499">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D009B">
            <w:pPr>
              <w:jc w:val="right"/>
              <w:rPr>
                <w:rFonts w:hint="default" w:ascii="Times New Roman" w:hAnsi="Times New Roman" w:eastAsia="宋体" w:cs="Times New Roman"/>
                <w:i w:val="0"/>
                <w:iCs w:val="0"/>
                <w:color w:val="000000"/>
                <w:sz w:val="22"/>
                <w:szCs w:val="22"/>
                <w:u w:val="none"/>
              </w:rPr>
            </w:pPr>
          </w:p>
        </w:tc>
      </w:tr>
      <w:tr w14:paraId="265C8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EACA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98406">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社会保障和就业支出</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ED998">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114.20</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6D392">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114.20</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A27D4">
            <w:pPr>
              <w:jc w:val="right"/>
              <w:rPr>
                <w:rFonts w:hint="default" w:ascii="Times New Roman" w:hAnsi="Times New Roman" w:eastAsia="宋体" w:cs="Times New Roman"/>
                <w:i w:val="0"/>
                <w:iCs w:val="0"/>
                <w:color w:val="000000"/>
                <w:sz w:val="22"/>
                <w:szCs w:val="22"/>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FA4DF">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E4332">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3EB7C">
            <w:pPr>
              <w:jc w:val="right"/>
              <w:rPr>
                <w:rFonts w:hint="default" w:ascii="Times New Roman" w:hAnsi="Times New Roman" w:eastAsia="宋体" w:cs="Times New Roman"/>
                <w:i w:val="0"/>
                <w:iCs w:val="0"/>
                <w:color w:val="000000"/>
                <w:sz w:val="22"/>
                <w:szCs w:val="22"/>
                <w:u w:val="none"/>
              </w:rPr>
            </w:pPr>
          </w:p>
        </w:tc>
      </w:tr>
      <w:tr w14:paraId="4F15C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7AC3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20805</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898BA">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行政事业单位养老支出</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A0D3F">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100.20</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F5C8A">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100.20</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0AB12">
            <w:pPr>
              <w:jc w:val="right"/>
              <w:rPr>
                <w:rFonts w:hint="default" w:ascii="Times New Roman" w:hAnsi="Times New Roman" w:eastAsia="宋体" w:cs="Times New Roman"/>
                <w:i w:val="0"/>
                <w:iCs w:val="0"/>
                <w:color w:val="000000"/>
                <w:sz w:val="22"/>
                <w:szCs w:val="22"/>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34A71">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C5D2A">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E1852">
            <w:pPr>
              <w:jc w:val="right"/>
              <w:rPr>
                <w:rFonts w:hint="default" w:ascii="Times New Roman" w:hAnsi="Times New Roman" w:eastAsia="宋体" w:cs="Times New Roman"/>
                <w:i w:val="0"/>
                <w:iCs w:val="0"/>
                <w:color w:val="000000"/>
                <w:sz w:val="22"/>
                <w:szCs w:val="22"/>
                <w:u w:val="none"/>
              </w:rPr>
            </w:pPr>
          </w:p>
        </w:tc>
      </w:tr>
      <w:tr w14:paraId="16921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67A9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2080502</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396CC">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事业单位离退休</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CF9C4">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2.62</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A229E">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2.62</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6AD3D">
            <w:pPr>
              <w:jc w:val="right"/>
              <w:rPr>
                <w:rFonts w:hint="default" w:ascii="Times New Roman" w:hAnsi="Times New Roman" w:eastAsia="宋体" w:cs="Times New Roman"/>
                <w:i w:val="0"/>
                <w:iCs w:val="0"/>
                <w:color w:val="000000"/>
                <w:sz w:val="22"/>
                <w:szCs w:val="22"/>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39295">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199A0">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5B69D">
            <w:pPr>
              <w:jc w:val="right"/>
              <w:rPr>
                <w:rFonts w:hint="default" w:ascii="Times New Roman" w:hAnsi="Times New Roman" w:eastAsia="宋体" w:cs="Times New Roman"/>
                <w:i w:val="0"/>
                <w:iCs w:val="0"/>
                <w:color w:val="000000"/>
                <w:sz w:val="22"/>
                <w:szCs w:val="22"/>
                <w:u w:val="none"/>
              </w:rPr>
            </w:pPr>
          </w:p>
        </w:tc>
      </w:tr>
      <w:tr w14:paraId="6387D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0DDD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2080505</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611D9">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机关事业单位基本养老保险缴费支出</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B89AB">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97.59</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1A941">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97.59</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C76A3">
            <w:pPr>
              <w:jc w:val="right"/>
              <w:rPr>
                <w:rFonts w:hint="default" w:ascii="Times New Roman" w:hAnsi="Times New Roman" w:eastAsia="宋体" w:cs="Times New Roman"/>
                <w:i w:val="0"/>
                <w:iCs w:val="0"/>
                <w:color w:val="000000"/>
                <w:sz w:val="22"/>
                <w:szCs w:val="22"/>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7A936">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18E7F">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61A12">
            <w:pPr>
              <w:jc w:val="right"/>
              <w:rPr>
                <w:rFonts w:hint="default" w:ascii="Times New Roman" w:hAnsi="Times New Roman" w:eastAsia="宋体" w:cs="Times New Roman"/>
                <w:i w:val="0"/>
                <w:iCs w:val="0"/>
                <w:color w:val="000000"/>
                <w:sz w:val="22"/>
                <w:szCs w:val="22"/>
                <w:u w:val="none"/>
              </w:rPr>
            </w:pPr>
          </w:p>
        </w:tc>
      </w:tr>
      <w:tr w14:paraId="7C9C2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1CAE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20899</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D1A00">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其他社会保障和就业支出</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7B263">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14.00</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28270">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14.00</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92C1C">
            <w:pPr>
              <w:jc w:val="right"/>
              <w:rPr>
                <w:rFonts w:hint="default" w:ascii="Times New Roman" w:hAnsi="Times New Roman" w:eastAsia="宋体" w:cs="Times New Roman"/>
                <w:i w:val="0"/>
                <w:iCs w:val="0"/>
                <w:color w:val="000000"/>
                <w:sz w:val="22"/>
                <w:szCs w:val="22"/>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981E3">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F6F12">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15134">
            <w:pPr>
              <w:jc w:val="right"/>
              <w:rPr>
                <w:rFonts w:hint="default" w:ascii="Times New Roman" w:hAnsi="Times New Roman" w:eastAsia="宋体" w:cs="Times New Roman"/>
                <w:i w:val="0"/>
                <w:iCs w:val="0"/>
                <w:color w:val="000000"/>
                <w:sz w:val="22"/>
                <w:szCs w:val="22"/>
                <w:u w:val="none"/>
              </w:rPr>
            </w:pPr>
          </w:p>
        </w:tc>
      </w:tr>
      <w:tr w14:paraId="51F33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B369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2089999</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E3773">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其他社会保障和就业支出</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46037">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14.00</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A63CE">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14.00</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CE1FA">
            <w:pPr>
              <w:jc w:val="right"/>
              <w:rPr>
                <w:rFonts w:hint="default" w:ascii="Times New Roman" w:hAnsi="Times New Roman" w:eastAsia="宋体" w:cs="Times New Roman"/>
                <w:i w:val="0"/>
                <w:iCs w:val="0"/>
                <w:color w:val="000000"/>
                <w:sz w:val="22"/>
                <w:szCs w:val="22"/>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C00BE">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6B2C5">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D3951">
            <w:pPr>
              <w:jc w:val="right"/>
              <w:rPr>
                <w:rFonts w:hint="default" w:ascii="Times New Roman" w:hAnsi="Times New Roman" w:eastAsia="宋体" w:cs="Times New Roman"/>
                <w:i w:val="0"/>
                <w:iCs w:val="0"/>
                <w:color w:val="000000"/>
                <w:sz w:val="22"/>
                <w:szCs w:val="22"/>
                <w:u w:val="none"/>
              </w:rPr>
            </w:pPr>
          </w:p>
        </w:tc>
      </w:tr>
      <w:tr w14:paraId="0F7D5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81EA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210</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D5A55">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卫生健康支出</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15965">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A54C2">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E8AC0">
            <w:pPr>
              <w:jc w:val="right"/>
              <w:rPr>
                <w:rFonts w:hint="default" w:ascii="Times New Roman" w:hAnsi="Times New Roman" w:eastAsia="宋体" w:cs="Times New Roman"/>
                <w:i w:val="0"/>
                <w:iCs w:val="0"/>
                <w:color w:val="000000"/>
                <w:sz w:val="22"/>
                <w:szCs w:val="22"/>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B1874">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D8FB0">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DB991">
            <w:pPr>
              <w:jc w:val="right"/>
              <w:rPr>
                <w:rFonts w:hint="default" w:ascii="Times New Roman" w:hAnsi="Times New Roman" w:eastAsia="宋体" w:cs="Times New Roman"/>
                <w:i w:val="0"/>
                <w:iCs w:val="0"/>
                <w:color w:val="000000"/>
                <w:sz w:val="22"/>
                <w:szCs w:val="22"/>
                <w:u w:val="none"/>
              </w:rPr>
            </w:pPr>
          </w:p>
        </w:tc>
      </w:tr>
      <w:tr w14:paraId="4A584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0EFD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21011</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C8186">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行政事业单位医疗</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ABE18">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BDF03">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208D8">
            <w:pPr>
              <w:jc w:val="right"/>
              <w:rPr>
                <w:rFonts w:hint="default" w:ascii="Times New Roman" w:hAnsi="Times New Roman" w:eastAsia="宋体" w:cs="Times New Roman"/>
                <w:i w:val="0"/>
                <w:iCs w:val="0"/>
                <w:color w:val="000000"/>
                <w:sz w:val="22"/>
                <w:szCs w:val="22"/>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DCB6B">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BC78C">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4D23F">
            <w:pPr>
              <w:jc w:val="right"/>
              <w:rPr>
                <w:rFonts w:hint="default" w:ascii="Times New Roman" w:hAnsi="Times New Roman" w:eastAsia="宋体" w:cs="Times New Roman"/>
                <w:i w:val="0"/>
                <w:iCs w:val="0"/>
                <w:color w:val="000000"/>
                <w:sz w:val="22"/>
                <w:szCs w:val="22"/>
                <w:u w:val="none"/>
              </w:rPr>
            </w:pPr>
          </w:p>
        </w:tc>
      </w:tr>
      <w:tr w14:paraId="7AD9F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3FC7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2101102</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2E89F">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事业单位医疗</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1DE9C">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E3A27">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F6202">
            <w:pPr>
              <w:jc w:val="right"/>
              <w:rPr>
                <w:rFonts w:hint="default" w:ascii="Times New Roman" w:hAnsi="Times New Roman" w:eastAsia="宋体" w:cs="Times New Roman"/>
                <w:i w:val="0"/>
                <w:iCs w:val="0"/>
                <w:color w:val="000000"/>
                <w:sz w:val="22"/>
                <w:szCs w:val="22"/>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08A43">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33B21">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0940D">
            <w:pPr>
              <w:jc w:val="right"/>
              <w:rPr>
                <w:rFonts w:hint="default" w:ascii="Times New Roman" w:hAnsi="Times New Roman" w:eastAsia="宋体" w:cs="Times New Roman"/>
                <w:i w:val="0"/>
                <w:iCs w:val="0"/>
                <w:color w:val="000000"/>
                <w:sz w:val="22"/>
                <w:szCs w:val="22"/>
                <w:u w:val="none"/>
              </w:rPr>
            </w:pPr>
          </w:p>
        </w:tc>
      </w:tr>
      <w:tr w14:paraId="2EE55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4AC6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221</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E99F6">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住房保障支出</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F30B0">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0E53C">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093CE">
            <w:pPr>
              <w:jc w:val="right"/>
              <w:rPr>
                <w:rFonts w:hint="default" w:ascii="Times New Roman" w:hAnsi="Times New Roman" w:eastAsia="宋体" w:cs="Times New Roman"/>
                <w:i w:val="0"/>
                <w:iCs w:val="0"/>
                <w:color w:val="000000"/>
                <w:sz w:val="22"/>
                <w:szCs w:val="22"/>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0AC73">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FDE10">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FACF3">
            <w:pPr>
              <w:jc w:val="right"/>
              <w:rPr>
                <w:rFonts w:hint="default" w:ascii="Times New Roman" w:hAnsi="Times New Roman" w:eastAsia="宋体" w:cs="Times New Roman"/>
                <w:i w:val="0"/>
                <w:iCs w:val="0"/>
                <w:color w:val="000000"/>
                <w:sz w:val="22"/>
                <w:szCs w:val="22"/>
                <w:u w:val="none"/>
              </w:rPr>
            </w:pPr>
          </w:p>
        </w:tc>
      </w:tr>
      <w:tr w14:paraId="24FFF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48B0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22102</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3CC38">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住房改革支出</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8C773">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E1035">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1134A">
            <w:pPr>
              <w:jc w:val="right"/>
              <w:rPr>
                <w:rFonts w:hint="default" w:ascii="Times New Roman" w:hAnsi="Times New Roman" w:eastAsia="宋体" w:cs="Times New Roman"/>
                <w:i w:val="0"/>
                <w:iCs w:val="0"/>
                <w:color w:val="000000"/>
                <w:sz w:val="22"/>
                <w:szCs w:val="22"/>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7E5AB">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78306">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8D9B6">
            <w:pPr>
              <w:jc w:val="right"/>
              <w:rPr>
                <w:rFonts w:hint="default" w:ascii="Times New Roman" w:hAnsi="Times New Roman" w:eastAsia="宋体" w:cs="Times New Roman"/>
                <w:i w:val="0"/>
                <w:iCs w:val="0"/>
                <w:color w:val="000000"/>
                <w:sz w:val="22"/>
                <w:szCs w:val="22"/>
                <w:u w:val="none"/>
              </w:rPr>
            </w:pPr>
          </w:p>
        </w:tc>
      </w:tr>
      <w:tr w14:paraId="7A8D7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5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96B5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2210201</w:t>
            </w:r>
          </w:p>
        </w:tc>
        <w:tc>
          <w:tcPr>
            <w:tcW w:w="3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81397">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住房公积金</w:t>
            </w:r>
          </w:p>
        </w:tc>
        <w:tc>
          <w:tcPr>
            <w:tcW w:w="1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2D90F">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1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49EC1">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1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235F1">
            <w:pPr>
              <w:jc w:val="right"/>
              <w:rPr>
                <w:rFonts w:hint="default" w:ascii="Times New Roman" w:hAnsi="Times New Roman" w:eastAsia="宋体" w:cs="Times New Roman"/>
                <w:i w:val="0"/>
                <w:iCs w:val="0"/>
                <w:color w:val="000000"/>
                <w:sz w:val="22"/>
                <w:szCs w:val="22"/>
                <w:u w:val="none"/>
              </w:rPr>
            </w:pPr>
          </w:p>
        </w:tc>
        <w:tc>
          <w:tcPr>
            <w:tcW w:w="12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D58B2">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567B3">
            <w:pPr>
              <w:jc w:val="right"/>
              <w:rPr>
                <w:rFonts w:hint="default" w:ascii="Times New Roman" w:hAnsi="Times New Roman" w:eastAsia="宋体" w:cs="Times New Roman"/>
                <w:i w:val="0"/>
                <w:iCs w:val="0"/>
                <w:color w:val="000000"/>
                <w:sz w:val="22"/>
                <w:szCs w:val="22"/>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188EC">
            <w:pPr>
              <w:jc w:val="right"/>
              <w:rPr>
                <w:rFonts w:hint="default" w:ascii="Times New Roman" w:hAnsi="Times New Roman" w:eastAsia="宋体" w:cs="Times New Roman"/>
                <w:i w:val="0"/>
                <w:iCs w:val="0"/>
                <w:color w:val="000000"/>
                <w:sz w:val="22"/>
                <w:szCs w:val="22"/>
                <w:u w:val="none"/>
              </w:rPr>
            </w:pPr>
          </w:p>
        </w:tc>
      </w:tr>
      <w:tr w14:paraId="48EF7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6" w:hRule="atLeast"/>
        </w:trPr>
        <w:tc>
          <w:tcPr>
            <w:tcW w:w="14786" w:type="dxa"/>
            <w:gridSpan w:val="10"/>
            <w:tcBorders>
              <w:top w:val="nil"/>
              <w:left w:val="nil"/>
              <w:bottom w:val="nil"/>
              <w:right w:val="nil"/>
            </w:tcBorders>
            <w:shd w:val="clear" w:color="auto" w:fill="auto"/>
            <w:noWrap/>
            <w:vAlign w:val="center"/>
          </w:tcPr>
          <w:p w14:paraId="31EA9117">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注：本表反映部门本年度各项支出情况。</w:t>
            </w:r>
          </w:p>
        </w:tc>
      </w:tr>
    </w:tbl>
    <w:p w14:paraId="18B12E94"/>
    <w:p w14:paraId="2DDEDFF6">
      <w:pPr>
        <w:widowControl/>
        <w:jc w:val="center"/>
        <w:rPr>
          <w:rFonts w:ascii="Times New Roman" w:hAnsi="Times New Roman" w:eastAsia="方正小标宋_GBK" w:cs="Times New Roman"/>
          <w:kern w:val="0"/>
          <w:sz w:val="36"/>
          <w:szCs w:val="36"/>
        </w:rPr>
      </w:pPr>
    </w:p>
    <w:bookmarkEnd w:id="0"/>
    <w:p w14:paraId="706B866C">
      <w:pPr>
        <w:widowControl/>
        <w:jc w:val="left"/>
        <w:rPr>
          <w:rFonts w:ascii="Times New Roman" w:hAnsi="Times New Roman" w:eastAsia="仿宋_GB2312" w:cs="Times New Roman"/>
          <w:bCs/>
          <w:kern w:val="0"/>
          <w:szCs w:val="21"/>
        </w:rPr>
      </w:pPr>
    </w:p>
    <w:p w14:paraId="6C51FB3D">
      <w:pPr>
        <w:widowControl/>
        <w:jc w:val="left"/>
        <w:rPr>
          <w:rFonts w:ascii="Times New Roman" w:hAnsi="Times New Roman" w:eastAsia="仿宋_GB2312" w:cs="Times New Roman"/>
          <w:bCs/>
          <w:kern w:val="0"/>
          <w:szCs w:val="21"/>
        </w:rPr>
      </w:pPr>
    </w:p>
    <w:p w14:paraId="33D17999">
      <w:pPr>
        <w:widowControl/>
        <w:jc w:val="left"/>
        <w:rPr>
          <w:rFonts w:ascii="Times New Roman" w:hAnsi="Times New Roman" w:eastAsia="仿宋_GB2312" w:cs="Times New Roman"/>
          <w:bCs/>
          <w:kern w:val="0"/>
          <w:szCs w:val="21"/>
        </w:rPr>
      </w:pPr>
    </w:p>
    <w:p w14:paraId="1D934C19">
      <w:pPr>
        <w:widowControl/>
        <w:jc w:val="left"/>
        <w:rPr>
          <w:rFonts w:ascii="Times New Roman" w:hAnsi="Times New Roman" w:eastAsia="仿宋_GB2312" w:cs="Times New Roman"/>
          <w:bCs/>
          <w:kern w:val="0"/>
          <w:szCs w:val="21"/>
        </w:rPr>
      </w:pPr>
    </w:p>
    <w:p w14:paraId="557B7B64">
      <w:pPr>
        <w:widowControl/>
        <w:jc w:val="left"/>
        <w:rPr>
          <w:rFonts w:ascii="Times New Roman" w:hAnsi="Times New Roman" w:eastAsia="仿宋_GB2312" w:cs="Times New Roman"/>
          <w:bCs/>
          <w:kern w:val="0"/>
          <w:szCs w:val="21"/>
        </w:rPr>
      </w:pPr>
    </w:p>
    <w:p w14:paraId="100D7304">
      <w:pPr>
        <w:widowControl/>
        <w:jc w:val="left"/>
        <w:rPr>
          <w:rFonts w:ascii="Times New Roman" w:hAnsi="Times New Roman" w:eastAsia="仿宋_GB2312" w:cs="Times New Roman"/>
          <w:bCs/>
          <w:kern w:val="0"/>
          <w:szCs w:val="21"/>
        </w:rPr>
      </w:pPr>
    </w:p>
    <w:p w14:paraId="4EC574F8">
      <w:pPr>
        <w:widowControl/>
        <w:jc w:val="left"/>
        <w:rPr>
          <w:rFonts w:ascii="Times New Roman" w:hAnsi="Times New Roman" w:eastAsia="仿宋_GB2312" w:cs="Times New Roman"/>
          <w:bCs/>
          <w:kern w:val="0"/>
          <w:szCs w:val="21"/>
        </w:rPr>
      </w:pPr>
    </w:p>
    <w:p w14:paraId="1EB442CB">
      <w:pPr>
        <w:widowControl/>
        <w:jc w:val="left"/>
        <w:rPr>
          <w:rFonts w:ascii="Times New Roman" w:hAnsi="Times New Roman" w:eastAsia="仿宋_GB2312" w:cs="Times New Roman"/>
          <w:bCs/>
          <w:kern w:val="0"/>
          <w:szCs w:val="21"/>
        </w:rPr>
      </w:pPr>
    </w:p>
    <w:p w14:paraId="45A854C8">
      <w:pPr>
        <w:widowControl/>
        <w:jc w:val="left"/>
        <w:rPr>
          <w:rFonts w:ascii="Times New Roman" w:hAnsi="Times New Roman" w:eastAsia="仿宋_GB2312" w:cs="Times New Roman"/>
          <w:bCs/>
          <w:kern w:val="0"/>
          <w:szCs w:val="21"/>
        </w:rPr>
      </w:pPr>
    </w:p>
    <w:p w14:paraId="61E72438">
      <w:pPr>
        <w:widowControl/>
        <w:jc w:val="left"/>
        <w:rPr>
          <w:rFonts w:ascii="Times New Roman" w:hAnsi="Times New Roman" w:eastAsia="仿宋_GB2312" w:cs="Times New Roman"/>
          <w:bCs/>
          <w:kern w:val="0"/>
          <w:szCs w:val="21"/>
        </w:rPr>
      </w:pPr>
    </w:p>
    <w:p w14:paraId="3EC1BE16">
      <w:pPr>
        <w:widowControl/>
        <w:jc w:val="left"/>
        <w:rPr>
          <w:rFonts w:ascii="Times New Roman" w:hAnsi="Times New Roman" w:eastAsia="仿宋_GB2312" w:cs="Times New Roman"/>
          <w:bCs/>
          <w:kern w:val="0"/>
          <w:szCs w:val="21"/>
        </w:rPr>
      </w:pPr>
    </w:p>
    <w:p w14:paraId="38732C6D">
      <w:pPr>
        <w:widowControl/>
        <w:jc w:val="left"/>
        <w:rPr>
          <w:rFonts w:ascii="Times New Roman" w:hAnsi="Times New Roman" w:eastAsia="仿宋_GB2312" w:cs="Times New Roman"/>
          <w:bCs/>
          <w:kern w:val="0"/>
          <w:szCs w:val="21"/>
        </w:rPr>
      </w:pPr>
    </w:p>
    <w:p w14:paraId="78CD14CE">
      <w:pPr>
        <w:widowControl/>
        <w:jc w:val="left"/>
        <w:rPr>
          <w:rFonts w:ascii="Times New Roman" w:hAnsi="Times New Roman" w:eastAsia="仿宋_GB2312" w:cs="Times New Roman"/>
          <w:bCs/>
          <w:kern w:val="0"/>
          <w:szCs w:val="21"/>
        </w:rPr>
      </w:pPr>
    </w:p>
    <w:p w14:paraId="4B400285">
      <w:pPr>
        <w:widowControl/>
        <w:jc w:val="left"/>
        <w:rPr>
          <w:rFonts w:ascii="Times New Roman" w:hAnsi="Times New Roman" w:eastAsia="仿宋_GB2312" w:cs="Times New Roman"/>
          <w:bCs/>
          <w:kern w:val="0"/>
          <w:szCs w:val="21"/>
        </w:rPr>
      </w:pPr>
    </w:p>
    <w:p w14:paraId="212D7D4B">
      <w:pPr>
        <w:widowControl/>
        <w:jc w:val="left"/>
        <w:rPr>
          <w:rFonts w:ascii="Times New Roman" w:hAnsi="Times New Roman" w:eastAsia="仿宋_GB2312" w:cs="Times New Roman"/>
          <w:bCs/>
          <w:kern w:val="0"/>
          <w:szCs w:val="21"/>
        </w:rPr>
      </w:pPr>
    </w:p>
    <w:p w14:paraId="22C5CD0A">
      <w:pPr>
        <w:widowControl/>
        <w:jc w:val="left"/>
        <w:rPr>
          <w:rFonts w:ascii="Times New Roman" w:hAnsi="Times New Roman" w:eastAsia="仿宋_GB2312" w:cs="Times New Roman"/>
          <w:bCs/>
          <w:kern w:val="0"/>
          <w:szCs w:val="21"/>
        </w:rPr>
      </w:pPr>
    </w:p>
    <w:p w14:paraId="551659F6">
      <w:pPr>
        <w:widowControl/>
        <w:jc w:val="left"/>
        <w:rPr>
          <w:rFonts w:ascii="Times New Roman" w:hAnsi="Times New Roman" w:eastAsia="仿宋_GB2312" w:cs="Times New Roman"/>
          <w:bCs/>
          <w:kern w:val="0"/>
          <w:szCs w:val="21"/>
        </w:rPr>
      </w:pPr>
    </w:p>
    <w:p w14:paraId="0F3EA649">
      <w:pPr>
        <w:widowControl/>
        <w:jc w:val="left"/>
        <w:rPr>
          <w:rFonts w:ascii="Times New Roman" w:hAnsi="Times New Roman" w:eastAsia="仿宋_GB2312" w:cs="Times New Roman"/>
          <w:bCs/>
          <w:kern w:val="0"/>
          <w:szCs w:val="21"/>
        </w:rPr>
      </w:pPr>
    </w:p>
    <w:p w14:paraId="4CFF8E0F">
      <w:pPr>
        <w:widowControl/>
        <w:jc w:val="left"/>
        <w:rPr>
          <w:rFonts w:ascii="Times New Roman" w:hAnsi="Times New Roman" w:eastAsia="仿宋_GB2312" w:cs="Times New Roman"/>
          <w:bCs/>
          <w:kern w:val="0"/>
          <w:szCs w:val="21"/>
        </w:rPr>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42"/>
        <w:gridCol w:w="606"/>
        <w:gridCol w:w="1422"/>
        <w:gridCol w:w="3528"/>
        <w:gridCol w:w="727"/>
        <w:gridCol w:w="1204"/>
        <w:gridCol w:w="1440"/>
        <w:gridCol w:w="1278"/>
        <w:gridCol w:w="1239"/>
      </w:tblGrid>
      <w:tr w14:paraId="0DCDC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5000" w:type="pct"/>
            <w:gridSpan w:val="9"/>
            <w:tcBorders>
              <w:top w:val="nil"/>
              <w:left w:val="nil"/>
              <w:bottom w:val="nil"/>
              <w:right w:val="nil"/>
            </w:tcBorders>
            <w:shd w:val="clear" w:color="auto" w:fill="auto"/>
            <w:noWrap/>
            <w:vAlign w:val="center"/>
          </w:tcPr>
          <w:p w14:paraId="58ACA16B">
            <w:pPr>
              <w:keepNext w:val="0"/>
              <w:keepLines w:val="0"/>
              <w:widowControl/>
              <w:suppressLineNumbers w:val="0"/>
              <w:jc w:val="center"/>
              <w:textAlignment w:val="center"/>
              <w:rPr>
                <w:rFonts w:ascii="黑体" w:hAnsi="宋体" w:eastAsia="黑体" w:cs="黑体"/>
                <w:i w:val="0"/>
                <w:iCs w:val="0"/>
                <w:color w:val="000000"/>
                <w:sz w:val="36"/>
                <w:szCs w:val="36"/>
                <w:u w:val="none"/>
              </w:rPr>
            </w:pPr>
            <w:r>
              <w:rPr>
                <w:rFonts w:hint="eastAsia" w:ascii="黑体" w:hAnsi="宋体" w:eastAsia="黑体" w:cs="黑体"/>
                <w:i w:val="0"/>
                <w:iCs w:val="0"/>
                <w:color w:val="000000"/>
                <w:kern w:val="0"/>
                <w:sz w:val="36"/>
                <w:szCs w:val="36"/>
                <w:u w:val="none"/>
                <w:lang w:val="en-US" w:eastAsia="zh-CN" w:bidi="ar"/>
              </w:rPr>
              <w:t>财政拨款收入支出决算总表</w:t>
            </w:r>
          </w:p>
        </w:tc>
      </w:tr>
      <w:tr w14:paraId="408F6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30" w:type="pct"/>
            <w:tcBorders>
              <w:top w:val="nil"/>
              <w:left w:val="nil"/>
              <w:bottom w:val="nil"/>
              <w:right w:val="nil"/>
            </w:tcBorders>
            <w:shd w:val="clear" w:color="auto" w:fill="auto"/>
            <w:noWrap/>
            <w:vAlign w:val="center"/>
          </w:tcPr>
          <w:p w14:paraId="0C6195A8">
            <w:pPr>
              <w:rPr>
                <w:rFonts w:hint="eastAsia" w:ascii="仿宋_GB2312" w:hAnsi="宋体" w:eastAsia="仿宋_GB2312" w:cs="仿宋_GB2312"/>
                <w:i w:val="0"/>
                <w:iCs w:val="0"/>
                <w:color w:val="000000"/>
                <w:sz w:val="20"/>
                <w:szCs w:val="20"/>
                <w:u w:val="none"/>
              </w:rPr>
            </w:pPr>
          </w:p>
        </w:tc>
        <w:tc>
          <w:tcPr>
            <w:tcW w:w="205" w:type="pct"/>
            <w:tcBorders>
              <w:top w:val="nil"/>
              <w:left w:val="nil"/>
              <w:bottom w:val="nil"/>
              <w:right w:val="nil"/>
            </w:tcBorders>
            <w:shd w:val="clear" w:color="auto" w:fill="auto"/>
            <w:noWrap/>
            <w:vAlign w:val="center"/>
          </w:tcPr>
          <w:p w14:paraId="475FBACD">
            <w:pPr>
              <w:rPr>
                <w:rFonts w:hint="eastAsia" w:ascii="仿宋_GB2312" w:hAnsi="宋体" w:eastAsia="仿宋_GB2312" w:cs="仿宋_GB2312"/>
                <w:i w:val="0"/>
                <w:iCs w:val="0"/>
                <w:color w:val="000000"/>
                <w:sz w:val="20"/>
                <w:szCs w:val="20"/>
                <w:u w:val="none"/>
              </w:rPr>
            </w:pPr>
          </w:p>
        </w:tc>
        <w:tc>
          <w:tcPr>
            <w:tcW w:w="480" w:type="pct"/>
            <w:tcBorders>
              <w:top w:val="nil"/>
              <w:left w:val="nil"/>
              <w:bottom w:val="nil"/>
              <w:right w:val="nil"/>
            </w:tcBorders>
            <w:shd w:val="clear" w:color="auto" w:fill="auto"/>
            <w:noWrap/>
            <w:vAlign w:val="center"/>
          </w:tcPr>
          <w:p w14:paraId="7C0A4498">
            <w:pPr>
              <w:rPr>
                <w:rFonts w:hint="eastAsia" w:ascii="仿宋_GB2312" w:hAnsi="宋体" w:eastAsia="仿宋_GB2312" w:cs="仿宋_GB2312"/>
                <w:i w:val="0"/>
                <w:iCs w:val="0"/>
                <w:color w:val="000000"/>
                <w:sz w:val="20"/>
                <w:szCs w:val="20"/>
                <w:u w:val="none"/>
              </w:rPr>
            </w:pPr>
          </w:p>
        </w:tc>
        <w:tc>
          <w:tcPr>
            <w:tcW w:w="1193" w:type="pct"/>
            <w:tcBorders>
              <w:top w:val="nil"/>
              <w:left w:val="nil"/>
              <w:bottom w:val="nil"/>
              <w:right w:val="nil"/>
            </w:tcBorders>
            <w:shd w:val="clear" w:color="auto" w:fill="auto"/>
            <w:noWrap/>
            <w:vAlign w:val="center"/>
          </w:tcPr>
          <w:p w14:paraId="10CD6E80">
            <w:pPr>
              <w:rPr>
                <w:rFonts w:hint="eastAsia" w:ascii="仿宋_GB2312" w:hAnsi="宋体" w:eastAsia="仿宋_GB2312" w:cs="仿宋_GB2312"/>
                <w:i w:val="0"/>
                <w:iCs w:val="0"/>
                <w:color w:val="000000"/>
                <w:sz w:val="20"/>
                <w:szCs w:val="20"/>
                <w:u w:val="none"/>
              </w:rPr>
            </w:pPr>
          </w:p>
        </w:tc>
        <w:tc>
          <w:tcPr>
            <w:tcW w:w="246" w:type="pct"/>
            <w:tcBorders>
              <w:top w:val="nil"/>
              <w:left w:val="nil"/>
              <w:bottom w:val="nil"/>
              <w:right w:val="nil"/>
            </w:tcBorders>
            <w:shd w:val="clear" w:color="auto" w:fill="auto"/>
            <w:noWrap/>
            <w:vAlign w:val="center"/>
          </w:tcPr>
          <w:p w14:paraId="3456CFE2">
            <w:pPr>
              <w:rPr>
                <w:rFonts w:hint="eastAsia" w:ascii="仿宋_GB2312" w:hAnsi="宋体" w:eastAsia="仿宋_GB2312" w:cs="仿宋_GB2312"/>
                <w:i w:val="0"/>
                <w:iCs w:val="0"/>
                <w:color w:val="000000"/>
                <w:sz w:val="20"/>
                <w:szCs w:val="20"/>
                <w:u w:val="none"/>
              </w:rPr>
            </w:pPr>
          </w:p>
        </w:tc>
        <w:tc>
          <w:tcPr>
            <w:tcW w:w="407" w:type="pct"/>
            <w:tcBorders>
              <w:top w:val="nil"/>
              <w:left w:val="nil"/>
              <w:bottom w:val="nil"/>
              <w:right w:val="nil"/>
            </w:tcBorders>
            <w:shd w:val="clear" w:color="auto" w:fill="auto"/>
            <w:noWrap/>
            <w:vAlign w:val="center"/>
          </w:tcPr>
          <w:p w14:paraId="55148B85">
            <w:pPr>
              <w:rPr>
                <w:rFonts w:hint="eastAsia" w:ascii="仿宋_GB2312" w:hAnsi="宋体" w:eastAsia="仿宋_GB2312" w:cs="仿宋_GB2312"/>
                <w:i w:val="0"/>
                <w:iCs w:val="0"/>
                <w:color w:val="000000"/>
                <w:sz w:val="20"/>
                <w:szCs w:val="20"/>
                <w:u w:val="none"/>
              </w:rPr>
            </w:pPr>
          </w:p>
        </w:tc>
        <w:tc>
          <w:tcPr>
            <w:tcW w:w="487" w:type="pct"/>
            <w:tcBorders>
              <w:top w:val="nil"/>
              <w:left w:val="nil"/>
              <w:bottom w:val="nil"/>
              <w:right w:val="nil"/>
            </w:tcBorders>
            <w:shd w:val="clear" w:color="auto" w:fill="auto"/>
            <w:noWrap/>
            <w:vAlign w:val="center"/>
          </w:tcPr>
          <w:p w14:paraId="7C336C00">
            <w:pPr>
              <w:rPr>
                <w:rFonts w:hint="eastAsia" w:ascii="仿宋_GB2312" w:hAnsi="宋体" w:eastAsia="仿宋_GB2312" w:cs="仿宋_GB2312"/>
                <w:i w:val="0"/>
                <w:iCs w:val="0"/>
                <w:color w:val="000000"/>
                <w:sz w:val="20"/>
                <w:szCs w:val="20"/>
                <w:u w:val="none"/>
              </w:rPr>
            </w:pPr>
          </w:p>
        </w:tc>
        <w:tc>
          <w:tcPr>
            <w:tcW w:w="429" w:type="pct"/>
            <w:tcBorders>
              <w:top w:val="nil"/>
              <w:left w:val="nil"/>
              <w:bottom w:val="nil"/>
              <w:right w:val="nil"/>
            </w:tcBorders>
            <w:shd w:val="clear" w:color="auto" w:fill="auto"/>
            <w:noWrap/>
            <w:vAlign w:val="center"/>
          </w:tcPr>
          <w:p w14:paraId="01A8FC81">
            <w:pPr>
              <w:rPr>
                <w:rFonts w:hint="eastAsia" w:ascii="仿宋_GB2312" w:hAnsi="宋体" w:eastAsia="仿宋_GB2312" w:cs="仿宋_GB2312"/>
                <w:i w:val="0"/>
                <w:iCs w:val="0"/>
                <w:color w:val="000000"/>
                <w:sz w:val="20"/>
                <w:szCs w:val="20"/>
                <w:u w:val="none"/>
              </w:rPr>
            </w:pPr>
          </w:p>
        </w:tc>
        <w:tc>
          <w:tcPr>
            <w:tcW w:w="418" w:type="pct"/>
            <w:tcBorders>
              <w:top w:val="nil"/>
              <w:left w:val="nil"/>
              <w:bottom w:val="nil"/>
              <w:right w:val="nil"/>
            </w:tcBorders>
            <w:shd w:val="clear" w:color="auto" w:fill="auto"/>
            <w:noWrap/>
            <w:vAlign w:val="bottom"/>
          </w:tcPr>
          <w:p w14:paraId="5904E41D">
            <w:pPr>
              <w:keepNext w:val="0"/>
              <w:keepLines w:val="0"/>
              <w:widowControl/>
              <w:suppressLineNumbers w:val="0"/>
              <w:jc w:val="left"/>
              <w:textAlignment w:val="bottom"/>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公开04表</w:t>
            </w:r>
          </w:p>
        </w:tc>
      </w:tr>
      <w:tr w14:paraId="24B09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130" w:type="pct"/>
            <w:tcBorders>
              <w:top w:val="nil"/>
              <w:left w:val="nil"/>
              <w:bottom w:val="nil"/>
              <w:right w:val="nil"/>
            </w:tcBorders>
            <w:shd w:val="clear" w:color="auto" w:fill="auto"/>
            <w:noWrap/>
            <w:vAlign w:val="bottom"/>
          </w:tcPr>
          <w:p w14:paraId="423861D2">
            <w:pPr>
              <w:keepNext w:val="0"/>
              <w:keepLines w:val="0"/>
              <w:widowControl/>
              <w:suppressLineNumbers w:val="0"/>
              <w:jc w:val="left"/>
              <w:textAlignment w:val="bottom"/>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单位：湖南省知识产权保护中心</w:t>
            </w:r>
          </w:p>
        </w:tc>
        <w:tc>
          <w:tcPr>
            <w:tcW w:w="205" w:type="pct"/>
            <w:tcBorders>
              <w:top w:val="nil"/>
              <w:left w:val="nil"/>
              <w:bottom w:val="nil"/>
              <w:right w:val="nil"/>
            </w:tcBorders>
            <w:shd w:val="clear" w:color="auto" w:fill="auto"/>
            <w:noWrap/>
            <w:vAlign w:val="center"/>
          </w:tcPr>
          <w:p w14:paraId="25C624EA">
            <w:pPr>
              <w:rPr>
                <w:rFonts w:hint="eastAsia" w:ascii="仿宋_GB2312" w:hAnsi="宋体" w:eastAsia="仿宋_GB2312" w:cs="仿宋_GB2312"/>
                <w:i w:val="0"/>
                <w:iCs w:val="0"/>
                <w:color w:val="000000"/>
                <w:sz w:val="20"/>
                <w:szCs w:val="20"/>
                <w:u w:val="none"/>
              </w:rPr>
            </w:pPr>
          </w:p>
        </w:tc>
        <w:tc>
          <w:tcPr>
            <w:tcW w:w="480" w:type="pct"/>
            <w:tcBorders>
              <w:top w:val="nil"/>
              <w:left w:val="nil"/>
              <w:bottom w:val="nil"/>
              <w:right w:val="nil"/>
            </w:tcBorders>
            <w:shd w:val="clear" w:color="auto" w:fill="auto"/>
            <w:noWrap/>
            <w:vAlign w:val="center"/>
          </w:tcPr>
          <w:p w14:paraId="6D42633E">
            <w:pPr>
              <w:rPr>
                <w:rFonts w:hint="eastAsia" w:ascii="仿宋_GB2312" w:hAnsi="宋体" w:eastAsia="仿宋_GB2312" w:cs="仿宋_GB2312"/>
                <w:i w:val="0"/>
                <w:iCs w:val="0"/>
                <w:color w:val="000000"/>
                <w:sz w:val="20"/>
                <w:szCs w:val="20"/>
                <w:u w:val="none"/>
              </w:rPr>
            </w:pPr>
          </w:p>
        </w:tc>
        <w:tc>
          <w:tcPr>
            <w:tcW w:w="1193" w:type="pct"/>
            <w:tcBorders>
              <w:top w:val="nil"/>
              <w:left w:val="nil"/>
              <w:bottom w:val="nil"/>
              <w:right w:val="nil"/>
            </w:tcBorders>
            <w:shd w:val="clear" w:color="auto" w:fill="auto"/>
            <w:noWrap/>
            <w:vAlign w:val="center"/>
          </w:tcPr>
          <w:p w14:paraId="3FFBC9D1">
            <w:pPr>
              <w:rPr>
                <w:rFonts w:hint="eastAsia" w:ascii="仿宋_GB2312" w:hAnsi="宋体" w:eastAsia="仿宋_GB2312" w:cs="仿宋_GB2312"/>
                <w:i w:val="0"/>
                <w:iCs w:val="0"/>
                <w:color w:val="000000"/>
                <w:sz w:val="20"/>
                <w:szCs w:val="20"/>
                <w:u w:val="none"/>
              </w:rPr>
            </w:pPr>
          </w:p>
        </w:tc>
        <w:tc>
          <w:tcPr>
            <w:tcW w:w="246" w:type="pct"/>
            <w:tcBorders>
              <w:top w:val="nil"/>
              <w:left w:val="nil"/>
              <w:bottom w:val="nil"/>
              <w:right w:val="nil"/>
            </w:tcBorders>
            <w:shd w:val="clear" w:color="auto" w:fill="auto"/>
            <w:noWrap/>
            <w:vAlign w:val="center"/>
          </w:tcPr>
          <w:p w14:paraId="67D101C4">
            <w:pPr>
              <w:rPr>
                <w:rFonts w:hint="eastAsia" w:ascii="仿宋_GB2312" w:hAnsi="宋体" w:eastAsia="仿宋_GB2312" w:cs="仿宋_GB2312"/>
                <w:i w:val="0"/>
                <w:iCs w:val="0"/>
                <w:color w:val="000000"/>
                <w:sz w:val="20"/>
                <w:szCs w:val="20"/>
                <w:u w:val="none"/>
              </w:rPr>
            </w:pPr>
          </w:p>
        </w:tc>
        <w:tc>
          <w:tcPr>
            <w:tcW w:w="407" w:type="pct"/>
            <w:tcBorders>
              <w:top w:val="nil"/>
              <w:left w:val="nil"/>
              <w:bottom w:val="nil"/>
              <w:right w:val="nil"/>
            </w:tcBorders>
            <w:shd w:val="clear" w:color="auto" w:fill="auto"/>
            <w:noWrap/>
            <w:vAlign w:val="center"/>
          </w:tcPr>
          <w:p w14:paraId="60875E22">
            <w:pPr>
              <w:rPr>
                <w:rFonts w:hint="eastAsia" w:ascii="仿宋_GB2312" w:hAnsi="宋体" w:eastAsia="仿宋_GB2312" w:cs="仿宋_GB2312"/>
                <w:i w:val="0"/>
                <w:iCs w:val="0"/>
                <w:color w:val="000000"/>
                <w:sz w:val="20"/>
                <w:szCs w:val="20"/>
                <w:u w:val="none"/>
              </w:rPr>
            </w:pPr>
          </w:p>
        </w:tc>
        <w:tc>
          <w:tcPr>
            <w:tcW w:w="487" w:type="pct"/>
            <w:tcBorders>
              <w:top w:val="nil"/>
              <w:left w:val="nil"/>
              <w:bottom w:val="nil"/>
              <w:right w:val="nil"/>
            </w:tcBorders>
            <w:shd w:val="clear" w:color="auto" w:fill="auto"/>
            <w:noWrap/>
            <w:vAlign w:val="center"/>
          </w:tcPr>
          <w:p w14:paraId="3532A7BC">
            <w:pPr>
              <w:rPr>
                <w:rFonts w:hint="eastAsia" w:ascii="仿宋_GB2312" w:hAnsi="宋体" w:eastAsia="仿宋_GB2312" w:cs="仿宋_GB2312"/>
                <w:i w:val="0"/>
                <w:iCs w:val="0"/>
                <w:color w:val="000000"/>
                <w:sz w:val="20"/>
                <w:szCs w:val="20"/>
                <w:u w:val="none"/>
              </w:rPr>
            </w:pPr>
          </w:p>
        </w:tc>
        <w:tc>
          <w:tcPr>
            <w:tcW w:w="429" w:type="pct"/>
            <w:tcBorders>
              <w:top w:val="nil"/>
              <w:left w:val="nil"/>
              <w:bottom w:val="nil"/>
              <w:right w:val="nil"/>
            </w:tcBorders>
            <w:shd w:val="clear" w:color="auto" w:fill="auto"/>
            <w:noWrap/>
            <w:vAlign w:val="center"/>
          </w:tcPr>
          <w:p w14:paraId="259CFC85">
            <w:pPr>
              <w:rPr>
                <w:rFonts w:hint="eastAsia" w:ascii="仿宋_GB2312" w:hAnsi="宋体" w:eastAsia="仿宋_GB2312" w:cs="仿宋_GB2312"/>
                <w:i w:val="0"/>
                <w:iCs w:val="0"/>
                <w:color w:val="000000"/>
                <w:sz w:val="20"/>
                <w:szCs w:val="20"/>
                <w:u w:val="none"/>
              </w:rPr>
            </w:pPr>
          </w:p>
        </w:tc>
        <w:tc>
          <w:tcPr>
            <w:tcW w:w="418" w:type="pct"/>
            <w:tcBorders>
              <w:top w:val="nil"/>
              <w:left w:val="nil"/>
              <w:bottom w:val="nil"/>
              <w:right w:val="nil"/>
            </w:tcBorders>
            <w:shd w:val="clear" w:color="auto" w:fill="auto"/>
            <w:noWrap/>
            <w:vAlign w:val="bottom"/>
          </w:tcPr>
          <w:p w14:paraId="027DE515">
            <w:pPr>
              <w:keepNext w:val="0"/>
              <w:keepLines w:val="0"/>
              <w:widowControl/>
              <w:suppressLineNumbers w:val="0"/>
              <w:jc w:val="left"/>
              <w:textAlignment w:val="bottom"/>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单位：万元</w:t>
            </w:r>
          </w:p>
        </w:tc>
      </w:tr>
      <w:tr w14:paraId="55B7D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8" w:hRule="atLeast"/>
        </w:trPr>
        <w:tc>
          <w:tcPr>
            <w:tcW w:w="181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6C363">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收     入</w:t>
            </w:r>
          </w:p>
        </w:tc>
        <w:tc>
          <w:tcPr>
            <w:tcW w:w="3183"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4C76D">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支     出</w:t>
            </w:r>
          </w:p>
        </w:tc>
      </w:tr>
      <w:tr w14:paraId="4948C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AC1BA9">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项目</w:t>
            </w:r>
          </w:p>
        </w:tc>
        <w:tc>
          <w:tcPr>
            <w:tcW w:w="20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860C84">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行次</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3A1389">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金额</w:t>
            </w:r>
          </w:p>
        </w:tc>
        <w:tc>
          <w:tcPr>
            <w:tcW w:w="11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625A49">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项目</w:t>
            </w:r>
          </w:p>
        </w:tc>
        <w:tc>
          <w:tcPr>
            <w:tcW w:w="2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8AA227">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行次</w:t>
            </w:r>
          </w:p>
        </w:tc>
        <w:tc>
          <w:tcPr>
            <w:tcW w:w="4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BF94E">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合计</w:t>
            </w:r>
          </w:p>
        </w:tc>
        <w:tc>
          <w:tcPr>
            <w:tcW w:w="4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C4CC07">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一般公共预算财政拨款</w:t>
            </w:r>
          </w:p>
        </w:tc>
        <w:tc>
          <w:tcPr>
            <w:tcW w:w="4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EA68F5">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政府性基金预算财政拨款</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8BB796">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国有资本经营预算财政拨款</w:t>
            </w:r>
          </w:p>
        </w:tc>
      </w:tr>
      <w:tr w14:paraId="718B7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5198AD">
            <w:pPr>
              <w:jc w:val="center"/>
              <w:rPr>
                <w:rFonts w:hint="eastAsia" w:ascii="仿宋_GB2312" w:hAnsi="宋体" w:eastAsia="仿宋_GB2312" w:cs="仿宋_GB2312"/>
                <w:i w:val="0"/>
                <w:iCs w:val="0"/>
                <w:color w:val="000000"/>
                <w:sz w:val="22"/>
                <w:szCs w:val="22"/>
                <w:u w:val="none"/>
              </w:rPr>
            </w:pPr>
          </w:p>
        </w:tc>
        <w:tc>
          <w:tcPr>
            <w:tcW w:w="2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9E58FF">
            <w:pPr>
              <w:jc w:val="center"/>
              <w:rPr>
                <w:rFonts w:hint="eastAsia" w:ascii="仿宋_GB2312" w:hAnsi="宋体" w:eastAsia="仿宋_GB2312" w:cs="仿宋_GB2312"/>
                <w:i w:val="0"/>
                <w:iCs w:val="0"/>
                <w:color w:val="000000"/>
                <w:sz w:val="22"/>
                <w:szCs w:val="22"/>
                <w:u w:val="none"/>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D24A1F">
            <w:pPr>
              <w:jc w:val="center"/>
              <w:rPr>
                <w:rFonts w:hint="eastAsia" w:ascii="仿宋_GB2312" w:hAnsi="宋体" w:eastAsia="仿宋_GB2312" w:cs="仿宋_GB2312"/>
                <w:i w:val="0"/>
                <w:iCs w:val="0"/>
                <w:color w:val="000000"/>
                <w:sz w:val="22"/>
                <w:szCs w:val="22"/>
                <w:u w:val="none"/>
              </w:rPr>
            </w:pPr>
          </w:p>
        </w:tc>
        <w:tc>
          <w:tcPr>
            <w:tcW w:w="11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3019FC">
            <w:pPr>
              <w:jc w:val="center"/>
              <w:rPr>
                <w:rFonts w:hint="eastAsia" w:ascii="仿宋_GB2312" w:hAnsi="宋体" w:eastAsia="仿宋_GB2312" w:cs="仿宋_GB2312"/>
                <w:i w:val="0"/>
                <w:iCs w:val="0"/>
                <w:color w:val="000000"/>
                <w:sz w:val="22"/>
                <w:szCs w:val="22"/>
                <w:u w:val="none"/>
              </w:rPr>
            </w:pPr>
          </w:p>
        </w:tc>
        <w:tc>
          <w:tcPr>
            <w:tcW w:w="2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D2EA12">
            <w:pPr>
              <w:jc w:val="center"/>
              <w:rPr>
                <w:rFonts w:hint="eastAsia" w:ascii="仿宋_GB2312" w:hAnsi="宋体" w:eastAsia="仿宋_GB2312" w:cs="仿宋_GB2312"/>
                <w:i w:val="0"/>
                <w:iCs w:val="0"/>
                <w:color w:val="000000"/>
                <w:sz w:val="22"/>
                <w:szCs w:val="22"/>
                <w:u w:val="none"/>
              </w:rPr>
            </w:pPr>
          </w:p>
        </w:tc>
        <w:tc>
          <w:tcPr>
            <w:tcW w:w="4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BD08B">
            <w:pPr>
              <w:jc w:val="center"/>
              <w:rPr>
                <w:rFonts w:hint="eastAsia" w:ascii="仿宋_GB2312" w:hAnsi="宋体" w:eastAsia="仿宋_GB2312" w:cs="仿宋_GB2312"/>
                <w:i w:val="0"/>
                <w:iCs w:val="0"/>
                <w:color w:val="000000"/>
                <w:sz w:val="22"/>
                <w:szCs w:val="22"/>
                <w:u w:val="none"/>
              </w:rPr>
            </w:pPr>
          </w:p>
        </w:tc>
        <w:tc>
          <w:tcPr>
            <w:tcW w:w="4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513E8F">
            <w:pPr>
              <w:jc w:val="center"/>
              <w:rPr>
                <w:rFonts w:hint="eastAsia" w:ascii="仿宋_GB2312" w:hAnsi="宋体" w:eastAsia="仿宋_GB2312" w:cs="仿宋_GB2312"/>
                <w:i w:val="0"/>
                <w:iCs w:val="0"/>
                <w:color w:val="000000"/>
                <w:sz w:val="22"/>
                <w:szCs w:val="22"/>
                <w:u w:val="none"/>
              </w:rPr>
            </w:pPr>
          </w:p>
        </w:tc>
        <w:tc>
          <w:tcPr>
            <w:tcW w:w="4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D21CE6">
            <w:pPr>
              <w:jc w:val="center"/>
              <w:rPr>
                <w:rFonts w:hint="eastAsia" w:ascii="仿宋_GB2312" w:hAnsi="宋体" w:eastAsia="仿宋_GB2312" w:cs="仿宋_GB2312"/>
                <w:i w:val="0"/>
                <w:iCs w:val="0"/>
                <w:color w:val="000000"/>
                <w:sz w:val="22"/>
                <w:szCs w:val="22"/>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B1E8E2">
            <w:pPr>
              <w:jc w:val="center"/>
              <w:rPr>
                <w:rFonts w:hint="eastAsia" w:ascii="仿宋_GB2312" w:hAnsi="宋体" w:eastAsia="仿宋_GB2312" w:cs="仿宋_GB2312"/>
                <w:i w:val="0"/>
                <w:iCs w:val="0"/>
                <w:color w:val="000000"/>
                <w:sz w:val="22"/>
                <w:szCs w:val="22"/>
                <w:u w:val="none"/>
              </w:rPr>
            </w:pPr>
          </w:p>
        </w:tc>
      </w:tr>
      <w:tr w14:paraId="23190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BA8B7">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栏次</w:t>
            </w: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8F36F">
            <w:pPr>
              <w:jc w:val="center"/>
              <w:rPr>
                <w:rFonts w:hint="default" w:ascii="Times New Roman" w:hAnsi="Times New Roman" w:eastAsia="宋体" w:cs="Times New Roman"/>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DD8E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34DE5">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栏次</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D625F">
            <w:pPr>
              <w:jc w:val="center"/>
              <w:rPr>
                <w:rFonts w:hint="default" w:ascii="Times New Roman" w:hAnsi="Times New Roman" w:eastAsia="宋体" w:cs="Times New Roman"/>
                <w:i w:val="0"/>
                <w:iCs w:val="0"/>
                <w:color w:val="000000"/>
                <w:sz w:val="22"/>
                <w:szCs w:val="22"/>
                <w:u w:val="none"/>
              </w:rPr>
            </w:pP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FDB6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A86A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5125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B12E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r>
      <w:tr w14:paraId="42112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7FC88">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一、一般公共预算财政拨款</w:t>
            </w: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D2E7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A0338">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1,679.69</w:t>
            </w: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763D7">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一、一般公共服务支出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F006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90177">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1,697.89</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A860B">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1,697.89</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1B064">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2F721">
            <w:pPr>
              <w:jc w:val="right"/>
              <w:rPr>
                <w:rFonts w:hint="default" w:ascii="Times New Roman" w:hAnsi="Times New Roman" w:eastAsia="宋体" w:cs="Times New Roman"/>
                <w:i w:val="0"/>
                <w:iCs w:val="0"/>
                <w:color w:val="000000"/>
                <w:sz w:val="22"/>
                <w:szCs w:val="22"/>
                <w:u w:val="none"/>
              </w:rPr>
            </w:pPr>
          </w:p>
        </w:tc>
      </w:tr>
      <w:tr w14:paraId="7E748D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269F8">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二、政府性基金预算财政拨款</w:t>
            </w: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1DC8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AD8DC">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DDDCB">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二、外交支出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D11B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34</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2AE85">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A6031">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CE237">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C7D0B">
            <w:pPr>
              <w:jc w:val="right"/>
              <w:rPr>
                <w:rFonts w:hint="default" w:ascii="Times New Roman" w:hAnsi="Times New Roman" w:eastAsia="宋体" w:cs="Times New Roman"/>
                <w:i w:val="0"/>
                <w:iCs w:val="0"/>
                <w:color w:val="000000"/>
                <w:sz w:val="22"/>
                <w:szCs w:val="22"/>
                <w:u w:val="none"/>
              </w:rPr>
            </w:pPr>
          </w:p>
        </w:tc>
      </w:tr>
      <w:tr w14:paraId="1633A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6B7BE">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三、国有资本经营预算财政拨款</w:t>
            </w: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6487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B72EC">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23666">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三、国防支出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BFE5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35</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28909">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005E4">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69F34">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0E167">
            <w:pPr>
              <w:jc w:val="right"/>
              <w:rPr>
                <w:rFonts w:hint="default" w:ascii="Times New Roman" w:hAnsi="Times New Roman" w:eastAsia="宋体" w:cs="Times New Roman"/>
                <w:i w:val="0"/>
                <w:iCs w:val="0"/>
                <w:color w:val="000000"/>
                <w:sz w:val="22"/>
                <w:szCs w:val="22"/>
                <w:u w:val="none"/>
              </w:rPr>
            </w:pPr>
          </w:p>
        </w:tc>
      </w:tr>
      <w:tr w14:paraId="5493D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41F3C">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0AF6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DAAF9">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926F0">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四、公共安全支出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9A74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36</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5E981">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1B490">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18462">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47A2D">
            <w:pPr>
              <w:jc w:val="right"/>
              <w:rPr>
                <w:rFonts w:hint="default" w:ascii="Times New Roman" w:hAnsi="Times New Roman" w:eastAsia="宋体" w:cs="Times New Roman"/>
                <w:i w:val="0"/>
                <w:iCs w:val="0"/>
                <w:color w:val="000000"/>
                <w:sz w:val="22"/>
                <w:szCs w:val="22"/>
                <w:u w:val="none"/>
              </w:rPr>
            </w:pPr>
          </w:p>
        </w:tc>
      </w:tr>
      <w:tr w14:paraId="73B74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5885F">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A1B8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9D384">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B6F4F">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五、教育支出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F5FB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37</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DAB3A">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20.94</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7A59E">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20.94</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34192">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FA1A2">
            <w:pPr>
              <w:jc w:val="right"/>
              <w:rPr>
                <w:rFonts w:hint="default" w:ascii="Times New Roman" w:hAnsi="Times New Roman" w:eastAsia="宋体" w:cs="Times New Roman"/>
                <w:i w:val="0"/>
                <w:iCs w:val="0"/>
                <w:color w:val="000000"/>
                <w:sz w:val="22"/>
                <w:szCs w:val="22"/>
                <w:u w:val="none"/>
              </w:rPr>
            </w:pPr>
          </w:p>
        </w:tc>
      </w:tr>
      <w:tr w14:paraId="60D79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9F41A">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B357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F1A0B">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1256C">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六、科学技术支出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6BC8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72031">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42FE7">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7B450">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4C7C0">
            <w:pPr>
              <w:jc w:val="right"/>
              <w:rPr>
                <w:rFonts w:hint="default" w:ascii="Times New Roman" w:hAnsi="Times New Roman" w:eastAsia="宋体" w:cs="Times New Roman"/>
                <w:i w:val="0"/>
                <w:iCs w:val="0"/>
                <w:color w:val="000000"/>
                <w:sz w:val="22"/>
                <w:szCs w:val="22"/>
                <w:u w:val="none"/>
              </w:rPr>
            </w:pPr>
          </w:p>
        </w:tc>
      </w:tr>
      <w:tr w14:paraId="36F42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A3D04">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590B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35308">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71B31">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七、文化旅游体育与传媒支出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3281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39</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B85AF">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54514">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7E2A2">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36256">
            <w:pPr>
              <w:jc w:val="right"/>
              <w:rPr>
                <w:rFonts w:hint="default" w:ascii="Times New Roman" w:hAnsi="Times New Roman" w:eastAsia="宋体" w:cs="Times New Roman"/>
                <w:i w:val="0"/>
                <w:iCs w:val="0"/>
                <w:color w:val="000000"/>
                <w:sz w:val="22"/>
                <w:szCs w:val="22"/>
                <w:u w:val="none"/>
              </w:rPr>
            </w:pPr>
          </w:p>
        </w:tc>
      </w:tr>
      <w:tr w14:paraId="1F4FE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7FDE4">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D342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2177B">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CFFE8">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八、社会保障和就业支出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B4A3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B38A9">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114.20</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F0965">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114.20</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38165">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8C150">
            <w:pPr>
              <w:jc w:val="right"/>
              <w:rPr>
                <w:rFonts w:hint="default" w:ascii="Times New Roman" w:hAnsi="Times New Roman" w:eastAsia="宋体" w:cs="Times New Roman"/>
                <w:i w:val="0"/>
                <w:iCs w:val="0"/>
                <w:color w:val="000000"/>
                <w:sz w:val="22"/>
                <w:szCs w:val="22"/>
                <w:u w:val="none"/>
              </w:rPr>
            </w:pPr>
          </w:p>
        </w:tc>
      </w:tr>
      <w:tr w14:paraId="4B6B9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6522C">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49A3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0F66D">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6F280">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九、卫生健康支出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3FAA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51B93">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E4712">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9D416">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3A392">
            <w:pPr>
              <w:jc w:val="right"/>
              <w:rPr>
                <w:rFonts w:hint="default" w:ascii="Times New Roman" w:hAnsi="Times New Roman" w:eastAsia="宋体" w:cs="Times New Roman"/>
                <w:i w:val="0"/>
                <w:iCs w:val="0"/>
                <w:color w:val="000000"/>
                <w:sz w:val="22"/>
                <w:szCs w:val="22"/>
                <w:u w:val="none"/>
              </w:rPr>
            </w:pPr>
          </w:p>
        </w:tc>
      </w:tr>
      <w:tr w14:paraId="23897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7B99C">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E578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37445">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2B93B">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十、节能环保支出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0839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42</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23F62">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D0441">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EB868">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48D5D">
            <w:pPr>
              <w:jc w:val="right"/>
              <w:rPr>
                <w:rFonts w:hint="default" w:ascii="Times New Roman" w:hAnsi="Times New Roman" w:eastAsia="宋体" w:cs="Times New Roman"/>
                <w:i w:val="0"/>
                <w:iCs w:val="0"/>
                <w:color w:val="000000"/>
                <w:sz w:val="22"/>
                <w:szCs w:val="22"/>
                <w:u w:val="none"/>
              </w:rPr>
            </w:pPr>
          </w:p>
        </w:tc>
      </w:tr>
      <w:tr w14:paraId="3A882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F6C02">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91C5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C2256">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62D7C">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十一、城乡社区支出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A9F9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43</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64184">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1300C">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A5879">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54C39">
            <w:pPr>
              <w:jc w:val="right"/>
              <w:rPr>
                <w:rFonts w:hint="default" w:ascii="Times New Roman" w:hAnsi="Times New Roman" w:eastAsia="宋体" w:cs="Times New Roman"/>
                <w:i w:val="0"/>
                <w:iCs w:val="0"/>
                <w:color w:val="000000"/>
                <w:sz w:val="22"/>
                <w:szCs w:val="22"/>
                <w:u w:val="none"/>
              </w:rPr>
            </w:pPr>
          </w:p>
        </w:tc>
      </w:tr>
      <w:tr w14:paraId="3B68A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C89A3">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BDB4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F988D">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0F3F1">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十二、农林水支出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C55F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44</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41DDD">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D85D4">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2039D">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CFDF8">
            <w:pPr>
              <w:jc w:val="right"/>
              <w:rPr>
                <w:rFonts w:hint="default" w:ascii="Times New Roman" w:hAnsi="Times New Roman" w:eastAsia="宋体" w:cs="Times New Roman"/>
                <w:i w:val="0"/>
                <w:iCs w:val="0"/>
                <w:color w:val="000000"/>
                <w:sz w:val="22"/>
                <w:szCs w:val="22"/>
                <w:u w:val="none"/>
              </w:rPr>
            </w:pPr>
          </w:p>
        </w:tc>
      </w:tr>
      <w:tr w14:paraId="4C647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B424C">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8681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5A2B1">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03CC7">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十三、交通运输支出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FFB7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45</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6FC6F">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C4410">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29BA6">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7CBFD">
            <w:pPr>
              <w:jc w:val="right"/>
              <w:rPr>
                <w:rFonts w:hint="default" w:ascii="Times New Roman" w:hAnsi="Times New Roman" w:eastAsia="宋体" w:cs="Times New Roman"/>
                <w:i w:val="0"/>
                <w:iCs w:val="0"/>
                <w:color w:val="000000"/>
                <w:sz w:val="22"/>
                <w:szCs w:val="22"/>
                <w:u w:val="none"/>
              </w:rPr>
            </w:pPr>
          </w:p>
        </w:tc>
      </w:tr>
      <w:tr w14:paraId="480B9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55A5A">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F90A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03E01">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550B3">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十四、资源勘探工业信息等支出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CD58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46</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6EF61">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00B68">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02FBA">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5584B">
            <w:pPr>
              <w:jc w:val="right"/>
              <w:rPr>
                <w:rFonts w:hint="default" w:ascii="Times New Roman" w:hAnsi="Times New Roman" w:eastAsia="宋体" w:cs="Times New Roman"/>
                <w:i w:val="0"/>
                <w:iCs w:val="0"/>
                <w:color w:val="000000"/>
                <w:sz w:val="22"/>
                <w:szCs w:val="22"/>
                <w:u w:val="none"/>
              </w:rPr>
            </w:pPr>
          </w:p>
        </w:tc>
      </w:tr>
      <w:tr w14:paraId="1A7CE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73B37">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87A7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72954">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A8893">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十五、商业服务业等支出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5D57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47</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91BE0">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1273B">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EA6D1">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44969">
            <w:pPr>
              <w:jc w:val="right"/>
              <w:rPr>
                <w:rFonts w:hint="default" w:ascii="Times New Roman" w:hAnsi="Times New Roman" w:eastAsia="宋体" w:cs="Times New Roman"/>
                <w:i w:val="0"/>
                <w:iCs w:val="0"/>
                <w:color w:val="000000"/>
                <w:sz w:val="22"/>
                <w:szCs w:val="22"/>
                <w:u w:val="none"/>
              </w:rPr>
            </w:pPr>
          </w:p>
        </w:tc>
      </w:tr>
      <w:tr w14:paraId="20E4B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2AA9F">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BE7E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997D1">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6BEA4">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十六、金融支出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2FD5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48</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BB2A2">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83760">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1C74F">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43E7E">
            <w:pPr>
              <w:jc w:val="right"/>
              <w:rPr>
                <w:rFonts w:hint="default" w:ascii="Times New Roman" w:hAnsi="Times New Roman" w:eastAsia="宋体" w:cs="Times New Roman"/>
                <w:i w:val="0"/>
                <w:iCs w:val="0"/>
                <w:color w:val="000000"/>
                <w:sz w:val="22"/>
                <w:szCs w:val="22"/>
                <w:u w:val="none"/>
              </w:rPr>
            </w:pPr>
          </w:p>
        </w:tc>
      </w:tr>
      <w:tr w14:paraId="5A66D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855C4">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C610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53793">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3271C">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十七、援助其他地区支出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F91D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49</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87038">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A5E5E">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94A41">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89F82">
            <w:pPr>
              <w:jc w:val="right"/>
              <w:rPr>
                <w:rFonts w:hint="default" w:ascii="Times New Roman" w:hAnsi="Times New Roman" w:eastAsia="宋体" w:cs="Times New Roman"/>
                <w:i w:val="0"/>
                <w:iCs w:val="0"/>
                <w:color w:val="000000"/>
                <w:sz w:val="22"/>
                <w:szCs w:val="22"/>
                <w:u w:val="none"/>
              </w:rPr>
            </w:pPr>
          </w:p>
        </w:tc>
      </w:tr>
      <w:tr w14:paraId="718AA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934FE">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E7C1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D3E7E">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F8D45">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十八、自然资源海洋气象等支出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B1B8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08993">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5CDFD">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D6AF6">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80681">
            <w:pPr>
              <w:jc w:val="right"/>
              <w:rPr>
                <w:rFonts w:hint="default" w:ascii="Times New Roman" w:hAnsi="Times New Roman" w:eastAsia="宋体" w:cs="Times New Roman"/>
                <w:i w:val="0"/>
                <w:iCs w:val="0"/>
                <w:color w:val="000000"/>
                <w:sz w:val="22"/>
                <w:szCs w:val="22"/>
                <w:u w:val="none"/>
              </w:rPr>
            </w:pPr>
          </w:p>
        </w:tc>
      </w:tr>
      <w:tr w14:paraId="189A5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05B0D">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5108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82819">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409C9">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十九、住房保障支出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E532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51</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14C7F">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D6891">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3F6F9">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246FA">
            <w:pPr>
              <w:jc w:val="right"/>
              <w:rPr>
                <w:rFonts w:hint="default" w:ascii="Times New Roman" w:hAnsi="Times New Roman" w:eastAsia="宋体" w:cs="Times New Roman"/>
                <w:i w:val="0"/>
                <w:iCs w:val="0"/>
                <w:color w:val="000000"/>
                <w:sz w:val="22"/>
                <w:szCs w:val="22"/>
                <w:u w:val="none"/>
              </w:rPr>
            </w:pPr>
          </w:p>
        </w:tc>
      </w:tr>
      <w:tr w14:paraId="7F5A8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D46BC">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74634">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49AA5">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2F99D">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二十、粮油物资储备支出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9337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0CB05">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C2C4E">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34A2A">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8C961">
            <w:pPr>
              <w:jc w:val="right"/>
              <w:rPr>
                <w:rFonts w:hint="default" w:ascii="Times New Roman" w:hAnsi="Times New Roman" w:eastAsia="宋体" w:cs="Times New Roman"/>
                <w:i w:val="0"/>
                <w:iCs w:val="0"/>
                <w:color w:val="000000"/>
                <w:sz w:val="22"/>
                <w:szCs w:val="22"/>
                <w:u w:val="none"/>
              </w:rPr>
            </w:pPr>
          </w:p>
        </w:tc>
      </w:tr>
      <w:tr w14:paraId="10BB6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6223D">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D1CF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596BF">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6F9AF">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二十一、国有资本经营预算支出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951B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53</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B0D0B">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57BCF">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49E78">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F276A">
            <w:pPr>
              <w:jc w:val="right"/>
              <w:rPr>
                <w:rFonts w:hint="default" w:ascii="Times New Roman" w:hAnsi="Times New Roman" w:eastAsia="宋体" w:cs="Times New Roman"/>
                <w:i w:val="0"/>
                <w:iCs w:val="0"/>
                <w:color w:val="000000"/>
                <w:sz w:val="22"/>
                <w:szCs w:val="22"/>
                <w:u w:val="none"/>
              </w:rPr>
            </w:pPr>
          </w:p>
        </w:tc>
      </w:tr>
      <w:tr w14:paraId="5C79A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A9D06">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A037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EBBDA">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0E5B4">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二十二、灾害防治及应急管理支出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286F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54</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EC15B">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43CA1">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27A11">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483F8">
            <w:pPr>
              <w:jc w:val="right"/>
              <w:rPr>
                <w:rFonts w:hint="default" w:ascii="Times New Roman" w:hAnsi="Times New Roman" w:eastAsia="宋体" w:cs="Times New Roman"/>
                <w:i w:val="0"/>
                <w:iCs w:val="0"/>
                <w:color w:val="000000"/>
                <w:sz w:val="22"/>
                <w:szCs w:val="22"/>
                <w:u w:val="none"/>
              </w:rPr>
            </w:pPr>
          </w:p>
        </w:tc>
      </w:tr>
      <w:tr w14:paraId="31334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41B13">
            <w:pPr>
              <w:jc w:val="left"/>
              <w:rPr>
                <w:rFonts w:hint="eastAsia" w:ascii="仿宋_GB2312" w:hAnsi="宋体" w:eastAsia="仿宋_GB2312" w:cs="仿宋_GB2312"/>
                <w:i w:val="0"/>
                <w:iCs w:val="0"/>
                <w:color w:val="000000"/>
                <w:sz w:val="22"/>
                <w:szCs w:val="22"/>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5BAD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04044">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A61AF">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二十三、其他支出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AE70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55</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DBA89">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BE450">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32746">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36B3E">
            <w:pPr>
              <w:jc w:val="right"/>
              <w:rPr>
                <w:rFonts w:hint="default" w:ascii="Times New Roman" w:hAnsi="Times New Roman" w:eastAsia="宋体" w:cs="Times New Roman"/>
                <w:i w:val="0"/>
                <w:iCs w:val="0"/>
                <w:color w:val="000000"/>
                <w:sz w:val="22"/>
                <w:szCs w:val="22"/>
                <w:u w:val="none"/>
              </w:rPr>
            </w:pPr>
          </w:p>
        </w:tc>
      </w:tr>
      <w:tr w14:paraId="2BC1B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8D9B2">
            <w:pPr>
              <w:jc w:val="center"/>
              <w:rPr>
                <w:rFonts w:hint="eastAsia" w:ascii="仿宋_GB2312" w:hAnsi="宋体" w:eastAsia="仿宋_GB2312" w:cs="仿宋_GB2312"/>
                <w:b/>
                <w:bCs/>
                <w:i w:val="0"/>
                <w:iCs w:val="0"/>
                <w:color w:val="000000"/>
                <w:sz w:val="20"/>
                <w:szCs w:val="20"/>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9F2E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D90A3">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A5AEC">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二十四、债务还本支出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02DC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56</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07FE0">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DF425">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00DC8">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F5145">
            <w:pPr>
              <w:jc w:val="right"/>
              <w:rPr>
                <w:rFonts w:hint="default" w:ascii="Times New Roman" w:hAnsi="Times New Roman" w:eastAsia="宋体" w:cs="Times New Roman"/>
                <w:i w:val="0"/>
                <w:iCs w:val="0"/>
                <w:color w:val="000000"/>
                <w:sz w:val="22"/>
                <w:szCs w:val="22"/>
                <w:u w:val="none"/>
              </w:rPr>
            </w:pPr>
          </w:p>
        </w:tc>
      </w:tr>
      <w:tr w14:paraId="43261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481EE">
            <w:pPr>
              <w:jc w:val="left"/>
              <w:rPr>
                <w:rFonts w:hint="eastAsia" w:ascii="仿宋_GB2312" w:hAnsi="宋体" w:eastAsia="仿宋_GB2312" w:cs="仿宋_GB2312"/>
                <w:i w:val="0"/>
                <w:iCs w:val="0"/>
                <w:color w:val="000000"/>
                <w:sz w:val="20"/>
                <w:szCs w:val="20"/>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4D93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42287">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D28CA">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二十五、债务付息支出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3B4B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57</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81416">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35DDC">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7F536">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71A32">
            <w:pPr>
              <w:jc w:val="right"/>
              <w:rPr>
                <w:rFonts w:hint="default" w:ascii="Times New Roman" w:hAnsi="Times New Roman" w:eastAsia="宋体" w:cs="Times New Roman"/>
                <w:i w:val="0"/>
                <w:iCs w:val="0"/>
                <w:color w:val="000000"/>
                <w:sz w:val="22"/>
                <w:szCs w:val="22"/>
                <w:u w:val="none"/>
              </w:rPr>
            </w:pPr>
          </w:p>
        </w:tc>
      </w:tr>
      <w:tr w14:paraId="433C4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AD74C">
            <w:pPr>
              <w:jc w:val="left"/>
              <w:rPr>
                <w:rFonts w:hint="eastAsia" w:ascii="仿宋_GB2312" w:hAnsi="宋体" w:eastAsia="仿宋_GB2312" w:cs="仿宋_GB2312"/>
                <w:i w:val="0"/>
                <w:iCs w:val="0"/>
                <w:color w:val="000000"/>
                <w:sz w:val="20"/>
                <w:szCs w:val="20"/>
                <w:u w:val="none"/>
              </w:rPr>
            </w:pP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00A8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1B9A8">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D874D">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二十六、抗疫特别国债安排的支出</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D7AE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58</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C0E7C">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8D1D8">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7D0E8">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527B0">
            <w:pPr>
              <w:jc w:val="right"/>
              <w:rPr>
                <w:rFonts w:hint="default" w:ascii="Times New Roman" w:hAnsi="Times New Roman" w:eastAsia="宋体" w:cs="Times New Roman"/>
                <w:i w:val="0"/>
                <w:iCs w:val="0"/>
                <w:color w:val="000000"/>
                <w:sz w:val="22"/>
                <w:szCs w:val="22"/>
                <w:u w:val="none"/>
              </w:rPr>
            </w:pPr>
          </w:p>
        </w:tc>
      </w:tr>
      <w:tr w14:paraId="736ED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6EDB4">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本年收入合计</w:t>
            </w: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FFAF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27</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ACEB4">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1,679.69</w:t>
            </w: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346A7">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本年支出合计</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1B920">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59</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F8C75">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1,985.24</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1E76B">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1,985.24</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A0457">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CC529">
            <w:pPr>
              <w:jc w:val="right"/>
              <w:rPr>
                <w:rFonts w:hint="default" w:ascii="Times New Roman" w:hAnsi="Times New Roman" w:eastAsia="宋体" w:cs="Times New Roman"/>
                <w:i w:val="0"/>
                <w:iCs w:val="0"/>
                <w:color w:val="000000"/>
                <w:sz w:val="22"/>
                <w:szCs w:val="22"/>
                <w:u w:val="none"/>
              </w:rPr>
            </w:pPr>
          </w:p>
        </w:tc>
      </w:tr>
      <w:tr w14:paraId="30B03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51739">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年初财政拨款结转和结余</w:t>
            </w: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6DBD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DC3A4">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718.47</w:t>
            </w: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F9F33">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年末财政拨款结转和结余</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03F8B">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34B3E">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412.91</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6C95D">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412.91</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ACFBA">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4AE4D">
            <w:pPr>
              <w:jc w:val="right"/>
              <w:rPr>
                <w:rFonts w:hint="default" w:ascii="Times New Roman" w:hAnsi="Times New Roman" w:eastAsia="宋体" w:cs="Times New Roman"/>
                <w:i w:val="0"/>
                <w:iCs w:val="0"/>
                <w:color w:val="000000"/>
                <w:sz w:val="22"/>
                <w:szCs w:val="22"/>
                <w:u w:val="none"/>
              </w:rPr>
            </w:pPr>
          </w:p>
        </w:tc>
      </w:tr>
      <w:tr w14:paraId="59AA7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C8AA5">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 xml:space="preserve">  一般公共预算财政拨款</w:t>
            </w: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CBDA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893A8">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718.47</w:t>
            </w: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7AF8B">
            <w:pPr>
              <w:jc w:val="left"/>
              <w:rPr>
                <w:rFonts w:hint="eastAsia" w:ascii="仿宋_GB2312" w:hAnsi="宋体" w:eastAsia="仿宋_GB2312" w:cs="仿宋_GB2312"/>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3F7A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61</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87B0C">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D3E66">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D97FC">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B297E">
            <w:pPr>
              <w:jc w:val="right"/>
              <w:rPr>
                <w:rFonts w:hint="default" w:ascii="Times New Roman" w:hAnsi="Times New Roman" w:eastAsia="宋体" w:cs="Times New Roman"/>
                <w:i w:val="0"/>
                <w:iCs w:val="0"/>
                <w:color w:val="000000"/>
                <w:sz w:val="22"/>
                <w:szCs w:val="22"/>
                <w:u w:val="none"/>
              </w:rPr>
            </w:pPr>
          </w:p>
        </w:tc>
      </w:tr>
      <w:tr w14:paraId="2E04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22533">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 xml:space="preserve">  政府性基金预算财政拨款</w:t>
            </w: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5B65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CDBA7">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892F5">
            <w:pPr>
              <w:jc w:val="left"/>
              <w:rPr>
                <w:rFonts w:hint="eastAsia" w:ascii="仿宋_GB2312" w:hAnsi="宋体" w:eastAsia="仿宋_GB2312" w:cs="仿宋_GB2312"/>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ED98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62</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36E98">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3124D">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00202">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1D8F3">
            <w:pPr>
              <w:jc w:val="right"/>
              <w:rPr>
                <w:rFonts w:hint="default" w:ascii="Times New Roman" w:hAnsi="Times New Roman" w:eastAsia="宋体" w:cs="Times New Roman"/>
                <w:i w:val="0"/>
                <w:iCs w:val="0"/>
                <w:color w:val="000000"/>
                <w:sz w:val="22"/>
                <w:szCs w:val="22"/>
                <w:u w:val="none"/>
              </w:rPr>
            </w:pPr>
          </w:p>
        </w:tc>
      </w:tr>
      <w:tr w14:paraId="64C1A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8933C">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 xml:space="preserve">  国有资本经营预算财政拨款</w:t>
            </w: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C8B67">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31</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158B5">
            <w:pPr>
              <w:jc w:val="right"/>
              <w:rPr>
                <w:rFonts w:hint="default" w:ascii="Times New Roman" w:hAnsi="Times New Roman" w:eastAsia="宋体" w:cs="Times New Roman"/>
                <w:i w:val="0"/>
                <w:iCs w:val="0"/>
                <w:color w:val="000000"/>
                <w:sz w:val="22"/>
                <w:szCs w:val="22"/>
                <w:u w:val="none"/>
              </w:rPr>
            </w:pP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98DF1">
            <w:pPr>
              <w:jc w:val="left"/>
              <w:rPr>
                <w:rFonts w:hint="eastAsia" w:ascii="仿宋_GB2312" w:hAnsi="宋体" w:eastAsia="仿宋_GB2312" w:cs="仿宋_GB2312"/>
                <w:i w:val="0"/>
                <w:iCs w:val="0"/>
                <w:color w:val="000000"/>
                <w:sz w:val="22"/>
                <w:szCs w:val="22"/>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D2E2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63</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98D49">
            <w:pPr>
              <w:jc w:val="right"/>
              <w:rPr>
                <w:rFonts w:hint="default" w:ascii="Times New Roman" w:hAnsi="Times New Roman" w:eastAsia="宋体" w:cs="Times New Roman"/>
                <w:i w:val="0"/>
                <w:iCs w:val="0"/>
                <w:color w:val="000000"/>
                <w:sz w:val="22"/>
                <w:szCs w:val="22"/>
                <w:u w:val="none"/>
              </w:rPr>
            </w:pP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E4B70">
            <w:pPr>
              <w:jc w:val="right"/>
              <w:rPr>
                <w:rFonts w:hint="default" w:ascii="Times New Roman" w:hAnsi="Times New Roman" w:eastAsia="宋体" w:cs="Times New Roman"/>
                <w:i w:val="0"/>
                <w:iCs w:val="0"/>
                <w:color w:val="000000"/>
                <w:sz w:val="22"/>
                <w:szCs w:val="22"/>
                <w:u w:val="none"/>
              </w:rPr>
            </w:pP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1CBF6">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FC71C">
            <w:pPr>
              <w:jc w:val="right"/>
              <w:rPr>
                <w:rFonts w:hint="default" w:ascii="Times New Roman" w:hAnsi="Times New Roman" w:eastAsia="宋体" w:cs="Times New Roman"/>
                <w:i w:val="0"/>
                <w:iCs w:val="0"/>
                <w:color w:val="000000"/>
                <w:sz w:val="22"/>
                <w:szCs w:val="22"/>
                <w:u w:val="none"/>
              </w:rPr>
            </w:pPr>
          </w:p>
        </w:tc>
      </w:tr>
      <w:tr w14:paraId="01A1C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6" w:hRule="atLeast"/>
        </w:trPr>
        <w:tc>
          <w:tcPr>
            <w:tcW w:w="11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415D6">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总计</w:t>
            </w:r>
          </w:p>
        </w:tc>
        <w:tc>
          <w:tcPr>
            <w:tcW w:w="2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8641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w:t>
            </w:r>
          </w:p>
        </w:tc>
        <w:tc>
          <w:tcPr>
            <w:tcW w:w="4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BC29C">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2,398.16</w:t>
            </w: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D59A6">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总计</w:t>
            </w:r>
          </w:p>
        </w:tc>
        <w:tc>
          <w:tcPr>
            <w:tcW w:w="2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F207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64</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8DEFB">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2,398.16</w:t>
            </w:r>
          </w:p>
        </w:tc>
        <w:tc>
          <w:tcPr>
            <w:tcW w:w="4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336D8">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2,398.16</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8D32D">
            <w:pPr>
              <w:jc w:val="right"/>
              <w:rPr>
                <w:rFonts w:hint="default" w:ascii="Times New Roman" w:hAnsi="Times New Roman" w:eastAsia="宋体" w:cs="Times New Roman"/>
                <w:i w:val="0"/>
                <w:iCs w:val="0"/>
                <w:color w:val="000000"/>
                <w:sz w:val="22"/>
                <w:szCs w:val="22"/>
                <w:u w:val="none"/>
              </w:rPr>
            </w:pP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A2870">
            <w:pPr>
              <w:jc w:val="right"/>
              <w:rPr>
                <w:rFonts w:hint="default" w:ascii="Times New Roman" w:hAnsi="Times New Roman" w:eastAsia="宋体" w:cs="Times New Roman"/>
                <w:i w:val="0"/>
                <w:iCs w:val="0"/>
                <w:color w:val="000000"/>
                <w:sz w:val="22"/>
                <w:szCs w:val="22"/>
                <w:u w:val="none"/>
              </w:rPr>
            </w:pPr>
          </w:p>
        </w:tc>
      </w:tr>
      <w:tr w14:paraId="08BFB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581" w:type="pct"/>
            <w:gridSpan w:val="8"/>
            <w:tcBorders>
              <w:top w:val="nil"/>
              <w:left w:val="nil"/>
              <w:bottom w:val="nil"/>
              <w:right w:val="nil"/>
            </w:tcBorders>
            <w:shd w:val="clear" w:color="auto" w:fill="auto"/>
            <w:noWrap/>
            <w:vAlign w:val="center"/>
          </w:tcPr>
          <w:p w14:paraId="6F980151">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418" w:type="pct"/>
            <w:tcBorders>
              <w:top w:val="nil"/>
              <w:left w:val="nil"/>
              <w:bottom w:val="nil"/>
              <w:right w:val="nil"/>
            </w:tcBorders>
            <w:shd w:val="clear" w:color="auto" w:fill="auto"/>
            <w:noWrap/>
            <w:vAlign w:val="center"/>
          </w:tcPr>
          <w:p w14:paraId="3542D3C5">
            <w:pPr>
              <w:jc w:val="left"/>
              <w:rPr>
                <w:rFonts w:hint="eastAsia" w:ascii="仿宋_GB2312" w:hAnsi="宋体" w:eastAsia="仿宋_GB2312" w:cs="仿宋_GB2312"/>
                <w:i w:val="0"/>
                <w:iCs w:val="0"/>
                <w:color w:val="000000"/>
                <w:sz w:val="20"/>
                <w:szCs w:val="20"/>
                <w:u w:val="none"/>
              </w:rPr>
            </w:pPr>
          </w:p>
        </w:tc>
      </w:tr>
    </w:tbl>
    <w:p w14:paraId="18353004">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09"/>
        <w:gridCol w:w="4542"/>
        <w:gridCol w:w="2567"/>
        <w:gridCol w:w="2570"/>
        <w:gridCol w:w="2898"/>
      </w:tblGrid>
      <w:tr w14:paraId="23487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5000" w:type="pct"/>
            <w:gridSpan w:val="5"/>
            <w:tcBorders>
              <w:top w:val="nil"/>
              <w:left w:val="nil"/>
              <w:bottom w:val="nil"/>
              <w:right w:val="nil"/>
            </w:tcBorders>
            <w:shd w:val="clear" w:color="auto" w:fill="auto"/>
            <w:noWrap/>
            <w:vAlign w:val="center"/>
          </w:tcPr>
          <w:p w14:paraId="3B7D4D30">
            <w:pPr>
              <w:keepNext w:val="0"/>
              <w:keepLines w:val="0"/>
              <w:widowControl/>
              <w:suppressLineNumbers w:val="0"/>
              <w:jc w:val="center"/>
              <w:textAlignment w:val="center"/>
              <w:rPr>
                <w:rFonts w:ascii="黑体" w:hAnsi="宋体" w:eastAsia="黑体" w:cs="黑体"/>
                <w:i w:val="0"/>
                <w:iCs w:val="0"/>
                <w:color w:val="000000"/>
                <w:sz w:val="36"/>
                <w:szCs w:val="36"/>
                <w:u w:val="none"/>
              </w:rPr>
            </w:pPr>
            <w:r>
              <w:rPr>
                <w:rFonts w:hint="eastAsia" w:ascii="黑体" w:hAnsi="宋体" w:eastAsia="黑体" w:cs="黑体"/>
                <w:i w:val="0"/>
                <w:iCs w:val="0"/>
                <w:color w:val="000000"/>
                <w:kern w:val="0"/>
                <w:sz w:val="36"/>
                <w:szCs w:val="36"/>
                <w:u w:val="none"/>
                <w:lang w:val="en-US" w:eastAsia="zh-CN" w:bidi="ar"/>
              </w:rPr>
              <w:t>一般公共预算财政拨款支出决算表</w:t>
            </w:r>
          </w:p>
        </w:tc>
      </w:tr>
      <w:tr w14:paraId="1CF21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46" w:type="pct"/>
            <w:tcBorders>
              <w:top w:val="nil"/>
              <w:left w:val="nil"/>
              <w:bottom w:val="nil"/>
              <w:right w:val="nil"/>
            </w:tcBorders>
            <w:shd w:val="clear" w:color="auto" w:fill="auto"/>
            <w:noWrap/>
            <w:vAlign w:val="center"/>
          </w:tcPr>
          <w:p w14:paraId="0CEB954D">
            <w:pPr>
              <w:rPr>
                <w:rFonts w:hint="eastAsia" w:ascii="仿宋_GB2312" w:hAnsi="宋体" w:eastAsia="仿宋_GB2312" w:cs="仿宋_GB2312"/>
                <w:i w:val="0"/>
                <w:iCs w:val="0"/>
                <w:color w:val="000000"/>
                <w:sz w:val="20"/>
                <w:szCs w:val="20"/>
                <w:u w:val="none"/>
              </w:rPr>
            </w:pPr>
          </w:p>
        </w:tc>
        <w:tc>
          <w:tcPr>
            <w:tcW w:w="1535" w:type="pct"/>
            <w:tcBorders>
              <w:top w:val="nil"/>
              <w:left w:val="nil"/>
              <w:bottom w:val="nil"/>
              <w:right w:val="nil"/>
            </w:tcBorders>
            <w:shd w:val="clear" w:color="auto" w:fill="auto"/>
            <w:noWrap/>
            <w:vAlign w:val="center"/>
          </w:tcPr>
          <w:p w14:paraId="48CA3976">
            <w:pPr>
              <w:rPr>
                <w:rFonts w:hint="eastAsia" w:ascii="仿宋_GB2312" w:hAnsi="宋体" w:eastAsia="仿宋_GB2312" w:cs="仿宋_GB2312"/>
                <w:i w:val="0"/>
                <w:iCs w:val="0"/>
                <w:color w:val="000000"/>
                <w:sz w:val="20"/>
                <w:szCs w:val="20"/>
                <w:u w:val="none"/>
              </w:rPr>
            </w:pPr>
          </w:p>
        </w:tc>
        <w:tc>
          <w:tcPr>
            <w:tcW w:w="868" w:type="pct"/>
            <w:tcBorders>
              <w:top w:val="nil"/>
              <w:left w:val="nil"/>
              <w:bottom w:val="nil"/>
              <w:right w:val="nil"/>
            </w:tcBorders>
            <w:shd w:val="clear" w:color="auto" w:fill="auto"/>
            <w:noWrap/>
            <w:vAlign w:val="center"/>
          </w:tcPr>
          <w:p w14:paraId="586A57B0">
            <w:pPr>
              <w:rPr>
                <w:rFonts w:hint="eastAsia" w:ascii="仿宋_GB2312" w:hAnsi="宋体" w:eastAsia="仿宋_GB2312" w:cs="仿宋_GB2312"/>
                <w:i w:val="0"/>
                <w:iCs w:val="0"/>
                <w:color w:val="000000"/>
                <w:sz w:val="20"/>
                <w:szCs w:val="20"/>
                <w:u w:val="none"/>
              </w:rPr>
            </w:pPr>
          </w:p>
        </w:tc>
        <w:tc>
          <w:tcPr>
            <w:tcW w:w="869" w:type="pct"/>
            <w:tcBorders>
              <w:top w:val="nil"/>
              <w:left w:val="nil"/>
              <w:bottom w:val="nil"/>
              <w:right w:val="nil"/>
            </w:tcBorders>
            <w:shd w:val="clear" w:color="auto" w:fill="auto"/>
            <w:noWrap/>
            <w:vAlign w:val="center"/>
          </w:tcPr>
          <w:p w14:paraId="253B2DE6">
            <w:pPr>
              <w:rPr>
                <w:rFonts w:hint="eastAsia" w:ascii="仿宋_GB2312" w:hAnsi="宋体" w:eastAsia="仿宋_GB2312" w:cs="仿宋_GB2312"/>
                <w:i w:val="0"/>
                <w:iCs w:val="0"/>
                <w:color w:val="000000"/>
                <w:sz w:val="20"/>
                <w:szCs w:val="20"/>
                <w:u w:val="none"/>
              </w:rPr>
            </w:pPr>
          </w:p>
        </w:tc>
        <w:tc>
          <w:tcPr>
            <w:tcW w:w="979" w:type="pct"/>
            <w:tcBorders>
              <w:top w:val="nil"/>
              <w:left w:val="nil"/>
              <w:bottom w:val="nil"/>
              <w:right w:val="nil"/>
            </w:tcBorders>
            <w:shd w:val="clear" w:color="auto" w:fill="auto"/>
            <w:noWrap/>
            <w:vAlign w:val="center"/>
          </w:tcPr>
          <w:p w14:paraId="068BA40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公开05表</w:t>
            </w:r>
          </w:p>
        </w:tc>
      </w:tr>
      <w:tr w14:paraId="217F6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282" w:type="pct"/>
            <w:gridSpan w:val="2"/>
            <w:tcBorders>
              <w:top w:val="nil"/>
              <w:left w:val="nil"/>
              <w:bottom w:val="nil"/>
              <w:right w:val="nil"/>
            </w:tcBorders>
            <w:shd w:val="clear" w:color="auto" w:fill="auto"/>
            <w:noWrap/>
            <w:vAlign w:val="center"/>
          </w:tcPr>
          <w:p w14:paraId="566C0B0F">
            <w:pP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单位：湖南省知识产权保护中心</w:t>
            </w:r>
          </w:p>
        </w:tc>
        <w:tc>
          <w:tcPr>
            <w:tcW w:w="868" w:type="pct"/>
            <w:tcBorders>
              <w:top w:val="nil"/>
              <w:left w:val="nil"/>
              <w:bottom w:val="nil"/>
              <w:right w:val="nil"/>
            </w:tcBorders>
            <w:shd w:val="clear" w:color="auto" w:fill="auto"/>
            <w:noWrap/>
            <w:vAlign w:val="center"/>
          </w:tcPr>
          <w:p w14:paraId="63BB1F34">
            <w:pPr>
              <w:rPr>
                <w:rFonts w:hint="eastAsia" w:ascii="仿宋_GB2312" w:hAnsi="宋体" w:eastAsia="仿宋_GB2312" w:cs="仿宋_GB2312"/>
                <w:i w:val="0"/>
                <w:iCs w:val="0"/>
                <w:color w:val="000000"/>
                <w:sz w:val="20"/>
                <w:szCs w:val="20"/>
                <w:u w:val="none"/>
              </w:rPr>
            </w:pPr>
          </w:p>
        </w:tc>
        <w:tc>
          <w:tcPr>
            <w:tcW w:w="869" w:type="pct"/>
            <w:tcBorders>
              <w:top w:val="nil"/>
              <w:left w:val="nil"/>
              <w:bottom w:val="nil"/>
              <w:right w:val="nil"/>
            </w:tcBorders>
            <w:shd w:val="clear" w:color="auto" w:fill="auto"/>
            <w:noWrap/>
            <w:vAlign w:val="center"/>
          </w:tcPr>
          <w:p w14:paraId="3F2F3134">
            <w:pPr>
              <w:rPr>
                <w:rFonts w:hint="eastAsia" w:ascii="仿宋_GB2312" w:hAnsi="宋体" w:eastAsia="仿宋_GB2312" w:cs="仿宋_GB2312"/>
                <w:i w:val="0"/>
                <w:iCs w:val="0"/>
                <w:color w:val="000000"/>
                <w:sz w:val="20"/>
                <w:szCs w:val="20"/>
                <w:u w:val="none"/>
              </w:rPr>
            </w:pPr>
          </w:p>
        </w:tc>
        <w:tc>
          <w:tcPr>
            <w:tcW w:w="979" w:type="pct"/>
            <w:tcBorders>
              <w:top w:val="nil"/>
              <w:left w:val="nil"/>
              <w:bottom w:val="nil"/>
              <w:right w:val="nil"/>
            </w:tcBorders>
            <w:shd w:val="clear" w:color="auto" w:fill="auto"/>
            <w:noWrap/>
            <w:vAlign w:val="center"/>
          </w:tcPr>
          <w:p w14:paraId="48A2B7C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单位：万元</w:t>
            </w:r>
          </w:p>
        </w:tc>
      </w:tr>
      <w:tr w14:paraId="623E1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28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36612">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项     目</w:t>
            </w:r>
          </w:p>
        </w:tc>
        <w:tc>
          <w:tcPr>
            <w:tcW w:w="271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EDA336">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本年支出</w:t>
            </w:r>
          </w:p>
        </w:tc>
      </w:tr>
      <w:tr w14:paraId="19DBC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7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7F5D52">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功能分类科目编码</w:t>
            </w:r>
          </w:p>
        </w:tc>
        <w:tc>
          <w:tcPr>
            <w:tcW w:w="153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06590">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科目名称</w:t>
            </w:r>
          </w:p>
        </w:tc>
        <w:tc>
          <w:tcPr>
            <w:tcW w:w="86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734C40">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小计</w:t>
            </w:r>
          </w:p>
        </w:tc>
        <w:tc>
          <w:tcPr>
            <w:tcW w:w="86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A9B5C5">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基本支出</w:t>
            </w:r>
          </w:p>
        </w:tc>
        <w:tc>
          <w:tcPr>
            <w:tcW w:w="9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488B74">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项目支出</w:t>
            </w:r>
          </w:p>
        </w:tc>
      </w:tr>
      <w:tr w14:paraId="4BD7D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7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B4CBC9">
            <w:pPr>
              <w:jc w:val="center"/>
              <w:rPr>
                <w:rFonts w:hint="eastAsia" w:ascii="仿宋_GB2312" w:hAnsi="宋体" w:eastAsia="仿宋_GB2312" w:cs="仿宋_GB2312"/>
                <w:b/>
                <w:bCs/>
                <w:i w:val="0"/>
                <w:iCs w:val="0"/>
                <w:color w:val="000000"/>
                <w:sz w:val="22"/>
                <w:szCs w:val="22"/>
                <w:u w:val="none"/>
              </w:rPr>
            </w:pPr>
          </w:p>
        </w:tc>
        <w:tc>
          <w:tcPr>
            <w:tcW w:w="153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98550">
            <w:pPr>
              <w:jc w:val="center"/>
              <w:rPr>
                <w:rFonts w:hint="eastAsia" w:ascii="仿宋_GB2312" w:hAnsi="宋体" w:eastAsia="仿宋_GB2312" w:cs="仿宋_GB2312"/>
                <w:b/>
                <w:bCs/>
                <w:i w:val="0"/>
                <w:iCs w:val="0"/>
                <w:color w:val="000000"/>
                <w:sz w:val="22"/>
                <w:szCs w:val="22"/>
                <w:u w:val="none"/>
              </w:rPr>
            </w:pPr>
          </w:p>
        </w:tc>
        <w:tc>
          <w:tcPr>
            <w:tcW w:w="86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C99880">
            <w:pPr>
              <w:jc w:val="center"/>
              <w:rPr>
                <w:rFonts w:hint="eastAsia" w:ascii="仿宋_GB2312" w:hAnsi="宋体" w:eastAsia="仿宋_GB2312" w:cs="仿宋_GB2312"/>
                <w:b/>
                <w:bCs/>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7916FB">
            <w:pPr>
              <w:jc w:val="center"/>
              <w:rPr>
                <w:rFonts w:hint="eastAsia" w:ascii="仿宋_GB2312" w:hAnsi="宋体" w:eastAsia="仿宋_GB2312" w:cs="仿宋_GB2312"/>
                <w:b/>
                <w:bCs/>
                <w:i w:val="0"/>
                <w:iCs w:val="0"/>
                <w:color w:val="000000"/>
                <w:sz w:val="22"/>
                <w:szCs w:val="22"/>
                <w:u w:val="none"/>
              </w:rPr>
            </w:pPr>
          </w:p>
        </w:tc>
        <w:tc>
          <w:tcPr>
            <w:tcW w:w="9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243D29">
            <w:pPr>
              <w:jc w:val="center"/>
              <w:rPr>
                <w:rFonts w:hint="eastAsia" w:ascii="仿宋_GB2312" w:hAnsi="宋体" w:eastAsia="仿宋_GB2312" w:cs="仿宋_GB2312"/>
                <w:b/>
                <w:bCs/>
                <w:i w:val="0"/>
                <w:iCs w:val="0"/>
                <w:color w:val="000000"/>
                <w:sz w:val="22"/>
                <w:szCs w:val="22"/>
                <w:u w:val="none"/>
              </w:rPr>
            </w:pPr>
          </w:p>
        </w:tc>
      </w:tr>
      <w:tr w14:paraId="69C12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7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A28E1A">
            <w:pPr>
              <w:jc w:val="center"/>
              <w:rPr>
                <w:rFonts w:hint="eastAsia" w:ascii="仿宋_GB2312" w:hAnsi="宋体" w:eastAsia="仿宋_GB2312" w:cs="仿宋_GB2312"/>
                <w:b/>
                <w:bCs/>
                <w:i w:val="0"/>
                <w:iCs w:val="0"/>
                <w:color w:val="000000"/>
                <w:sz w:val="22"/>
                <w:szCs w:val="22"/>
                <w:u w:val="none"/>
              </w:rPr>
            </w:pPr>
          </w:p>
        </w:tc>
        <w:tc>
          <w:tcPr>
            <w:tcW w:w="153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CC452">
            <w:pPr>
              <w:jc w:val="center"/>
              <w:rPr>
                <w:rFonts w:hint="eastAsia" w:ascii="仿宋_GB2312" w:hAnsi="宋体" w:eastAsia="仿宋_GB2312" w:cs="仿宋_GB2312"/>
                <w:b/>
                <w:bCs/>
                <w:i w:val="0"/>
                <w:iCs w:val="0"/>
                <w:color w:val="000000"/>
                <w:sz w:val="22"/>
                <w:szCs w:val="22"/>
                <w:u w:val="none"/>
              </w:rPr>
            </w:pPr>
          </w:p>
        </w:tc>
        <w:tc>
          <w:tcPr>
            <w:tcW w:w="86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9B6A42">
            <w:pPr>
              <w:jc w:val="center"/>
              <w:rPr>
                <w:rFonts w:hint="eastAsia" w:ascii="仿宋_GB2312" w:hAnsi="宋体" w:eastAsia="仿宋_GB2312" w:cs="仿宋_GB2312"/>
                <w:b/>
                <w:bCs/>
                <w:i w:val="0"/>
                <w:iCs w:val="0"/>
                <w:color w:val="000000"/>
                <w:sz w:val="22"/>
                <w:szCs w:val="22"/>
                <w:u w:val="none"/>
              </w:rPr>
            </w:pPr>
          </w:p>
        </w:tc>
        <w:tc>
          <w:tcPr>
            <w:tcW w:w="86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B11C1B">
            <w:pPr>
              <w:jc w:val="center"/>
              <w:rPr>
                <w:rFonts w:hint="eastAsia" w:ascii="仿宋_GB2312" w:hAnsi="宋体" w:eastAsia="仿宋_GB2312" w:cs="仿宋_GB2312"/>
                <w:b/>
                <w:bCs/>
                <w:i w:val="0"/>
                <w:iCs w:val="0"/>
                <w:color w:val="000000"/>
                <w:sz w:val="22"/>
                <w:szCs w:val="22"/>
                <w:u w:val="none"/>
              </w:rPr>
            </w:pPr>
          </w:p>
        </w:tc>
        <w:tc>
          <w:tcPr>
            <w:tcW w:w="9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66CE45">
            <w:pPr>
              <w:jc w:val="center"/>
              <w:rPr>
                <w:rFonts w:hint="eastAsia" w:ascii="仿宋_GB2312" w:hAnsi="宋体" w:eastAsia="仿宋_GB2312" w:cs="仿宋_GB2312"/>
                <w:b/>
                <w:bCs/>
                <w:i w:val="0"/>
                <w:iCs w:val="0"/>
                <w:color w:val="000000"/>
                <w:sz w:val="22"/>
                <w:szCs w:val="22"/>
                <w:u w:val="none"/>
              </w:rPr>
            </w:pPr>
          </w:p>
        </w:tc>
      </w:tr>
      <w:tr w14:paraId="61E1D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28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84F47">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栏次</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D769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4DFF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D0E1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3C70B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28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1821B">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合计</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271E0">
            <w:pPr>
              <w:keepNext w:val="0"/>
              <w:keepLines w:val="0"/>
              <w:widowControl/>
              <w:suppressLineNumbers w:val="0"/>
              <w:jc w:val="righ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1,985.24</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6A76B">
            <w:pPr>
              <w:keepNext w:val="0"/>
              <w:keepLines w:val="0"/>
              <w:widowControl/>
              <w:suppressLineNumbers w:val="0"/>
              <w:jc w:val="righ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1,196.95</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8F37C">
            <w:pPr>
              <w:keepNext w:val="0"/>
              <w:keepLines w:val="0"/>
              <w:widowControl/>
              <w:suppressLineNumbers w:val="0"/>
              <w:jc w:val="righ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788.30</w:t>
            </w:r>
          </w:p>
        </w:tc>
      </w:tr>
      <w:tr w14:paraId="756DC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4A2C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0560B">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一般公共服务支出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610C5">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1,697.89</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F41ED">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930.53</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F0DF9">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767.36</w:t>
            </w:r>
          </w:p>
        </w:tc>
      </w:tr>
      <w:tr w14:paraId="38A5E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2BF3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20114</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EB208">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知识产权事务</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0164B">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534.99</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E03A6">
            <w:pPr>
              <w:jc w:val="right"/>
              <w:rPr>
                <w:rFonts w:hint="default" w:ascii="Times New Roman" w:hAnsi="Times New Roman" w:eastAsia="宋体" w:cs="Times New Roman"/>
                <w:i w:val="0"/>
                <w:iCs w:val="0"/>
                <w:color w:val="000000"/>
                <w:sz w:val="22"/>
                <w:szCs w:val="22"/>
                <w:u w:val="none"/>
              </w:rPr>
            </w:pP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A5D65">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534.99</w:t>
            </w:r>
          </w:p>
        </w:tc>
      </w:tr>
      <w:tr w14:paraId="74CCF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8660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2011402</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1743A">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一般行政管理事务</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244D1">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11.92</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243C3">
            <w:pPr>
              <w:jc w:val="right"/>
              <w:rPr>
                <w:rFonts w:hint="default" w:ascii="Times New Roman" w:hAnsi="Times New Roman" w:eastAsia="宋体" w:cs="Times New Roman"/>
                <w:i w:val="0"/>
                <w:iCs w:val="0"/>
                <w:color w:val="000000"/>
                <w:sz w:val="22"/>
                <w:szCs w:val="22"/>
                <w:u w:val="none"/>
              </w:rPr>
            </w:pP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A3AFD">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11.92</w:t>
            </w:r>
          </w:p>
        </w:tc>
      </w:tr>
      <w:tr w14:paraId="71AB0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7E02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2011405</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32EAF">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知识产权战略和规划</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4CF60">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119.44</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EDF13">
            <w:pPr>
              <w:jc w:val="right"/>
              <w:rPr>
                <w:rFonts w:hint="default" w:ascii="Times New Roman" w:hAnsi="Times New Roman" w:eastAsia="宋体" w:cs="Times New Roman"/>
                <w:i w:val="0"/>
                <w:iCs w:val="0"/>
                <w:color w:val="000000"/>
                <w:sz w:val="22"/>
                <w:szCs w:val="22"/>
                <w:u w:val="none"/>
              </w:rPr>
            </w:pP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726C0">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119.44</w:t>
            </w:r>
          </w:p>
        </w:tc>
      </w:tr>
      <w:tr w14:paraId="314EC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3C7E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2011499</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C352F">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其他知识产权事务支出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B990D">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403.63</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84E24">
            <w:pPr>
              <w:jc w:val="right"/>
              <w:rPr>
                <w:rFonts w:hint="default" w:ascii="Times New Roman" w:hAnsi="Times New Roman" w:eastAsia="宋体" w:cs="Times New Roman"/>
                <w:i w:val="0"/>
                <w:iCs w:val="0"/>
                <w:color w:val="000000"/>
                <w:sz w:val="22"/>
                <w:szCs w:val="22"/>
                <w:u w:val="none"/>
              </w:rPr>
            </w:pP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EC401">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403.63</w:t>
            </w:r>
          </w:p>
        </w:tc>
      </w:tr>
      <w:tr w14:paraId="68D1E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AE3A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20138</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478EA">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市场监督管理事务</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A9672">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1,162.90</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A7166">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930.53</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406A8">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232.37</w:t>
            </w:r>
          </w:p>
        </w:tc>
      </w:tr>
      <w:tr w14:paraId="37AB5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7126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2013810</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768B2">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质量基础</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66BFD">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3.00</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2CC86">
            <w:pPr>
              <w:jc w:val="right"/>
              <w:rPr>
                <w:rFonts w:hint="default" w:ascii="Times New Roman" w:hAnsi="Times New Roman" w:eastAsia="宋体" w:cs="Times New Roman"/>
                <w:i w:val="0"/>
                <w:iCs w:val="0"/>
                <w:color w:val="000000"/>
                <w:sz w:val="22"/>
                <w:szCs w:val="22"/>
                <w:u w:val="none"/>
              </w:rPr>
            </w:pP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7FEAA">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3.00</w:t>
            </w:r>
          </w:p>
        </w:tc>
      </w:tr>
      <w:tr w14:paraId="4A713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39C3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2013850</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52AEB">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事业运行</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3396E">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930.53</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0535D">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930.53</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A0782">
            <w:pPr>
              <w:jc w:val="right"/>
              <w:rPr>
                <w:rFonts w:hint="default" w:ascii="Times New Roman" w:hAnsi="Times New Roman" w:eastAsia="宋体" w:cs="Times New Roman"/>
                <w:i w:val="0"/>
                <w:iCs w:val="0"/>
                <w:color w:val="000000"/>
                <w:sz w:val="22"/>
                <w:szCs w:val="22"/>
                <w:u w:val="none"/>
              </w:rPr>
            </w:pPr>
          </w:p>
        </w:tc>
      </w:tr>
      <w:tr w14:paraId="34E88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3CC4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2013899</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FBA55">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其他市场监督管理事务</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87E88">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229.37</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BEFC1">
            <w:pPr>
              <w:jc w:val="right"/>
              <w:rPr>
                <w:rFonts w:hint="default" w:ascii="Times New Roman" w:hAnsi="Times New Roman" w:eastAsia="宋体" w:cs="Times New Roman"/>
                <w:i w:val="0"/>
                <w:iCs w:val="0"/>
                <w:color w:val="000000"/>
                <w:sz w:val="22"/>
                <w:szCs w:val="22"/>
                <w:u w:val="none"/>
              </w:rPr>
            </w:pP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F4717">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229.37</w:t>
            </w:r>
          </w:p>
        </w:tc>
      </w:tr>
      <w:tr w14:paraId="52CAF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AC32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205</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8B85B">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教育支出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AD8CF">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20.94</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44C97">
            <w:pPr>
              <w:jc w:val="right"/>
              <w:rPr>
                <w:rFonts w:hint="default" w:ascii="Times New Roman" w:hAnsi="Times New Roman" w:eastAsia="宋体" w:cs="Times New Roman"/>
                <w:i w:val="0"/>
                <w:iCs w:val="0"/>
                <w:color w:val="000000"/>
                <w:sz w:val="22"/>
                <w:szCs w:val="22"/>
                <w:u w:val="none"/>
              </w:rPr>
            </w:pP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8E1AA">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20.94</w:t>
            </w:r>
          </w:p>
        </w:tc>
      </w:tr>
      <w:tr w14:paraId="11F46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5CB3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20508</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C50CC">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进修及培训</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A3922">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20.94</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7D493">
            <w:pPr>
              <w:jc w:val="right"/>
              <w:rPr>
                <w:rFonts w:hint="default" w:ascii="Times New Roman" w:hAnsi="Times New Roman" w:eastAsia="宋体" w:cs="Times New Roman"/>
                <w:i w:val="0"/>
                <w:iCs w:val="0"/>
                <w:color w:val="000000"/>
                <w:sz w:val="22"/>
                <w:szCs w:val="22"/>
                <w:u w:val="none"/>
              </w:rPr>
            </w:pP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E102D">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20.94</w:t>
            </w:r>
          </w:p>
        </w:tc>
      </w:tr>
      <w:tr w14:paraId="38230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A52A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2050803</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04134">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培训支出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63DBC">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20.94</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0924F">
            <w:pPr>
              <w:jc w:val="right"/>
              <w:rPr>
                <w:rFonts w:hint="default" w:ascii="Times New Roman" w:hAnsi="Times New Roman" w:eastAsia="宋体" w:cs="Times New Roman"/>
                <w:i w:val="0"/>
                <w:iCs w:val="0"/>
                <w:color w:val="000000"/>
                <w:sz w:val="22"/>
                <w:szCs w:val="22"/>
                <w:u w:val="none"/>
              </w:rPr>
            </w:pP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3330A">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20.94</w:t>
            </w:r>
          </w:p>
        </w:tc>
      </w:tr>
      <w:tr w14:paraId="729B2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E9E7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74870">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社会保障和就业支出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92964">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114.20</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11373">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114.20</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E7698">
            <w:pPr>
              <w:jc w:val="right"/>
              <w:rPr>
                <w:rFonts w:hint="default" w:ascii="Times New Roman" w:hAnsi="Times New Roman" w:eastAsia="宋体" w:cs="Times New Roman"/>
                <w:i w:val="0"/>
                <w:iCs w:val="0"/>
                <w:color w:val="000000"/>
                <w:sz w:val="22"/>
                <w:szCs w:val="22"/>
                <w:u w:val="none"/>
              </w:rPr>
            </w:pPr>
          </w:p>
        </w:tc>
      </w:tr>
      <w:tr w14:paraId="38F28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96DB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20805</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7B721">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行政事业单位养老支出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A3F33">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100.20</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304CA">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100.20</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AD20F">
            <w:pPr>
              <w:jc w:val="right"/>
              <w:rPr>
                <w:rFonts w:hint="default" w:ascii="Times New Roman" w:hAnsi="Times New Roman" w:eastAsia="宋体" w:cs="Times New Roman"/>
                <w:i w:val="0"/>
                <w:iCs w:val="0"/>
                <w:color w:val="000000"/>
                <w:sz w:val="22"/>
                <w:szCs w:val="22"/>
                <w:u w:val="none"/>
              </w:rPr>
            </w:pPr>
          </w:p>
        </w:tc>
      </w:tr>
      <w:tr w14:paraId="7DCA4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BB62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2080502</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845E3">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事业单位离退休</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7C8FC">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2.62</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4A30A">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2.62</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845B2">
            <w:pPr>
              <w:jc w:val="right"/>
              <w:rPr>
                <w:rFonts w:hint="default" w:ascii="Times New Roman" w:hAnsi="Times New Roman" w:eastAsia="宋体" w:cs="Times New Roman"/>
                <w:i w:val="0"/>
                <w:iCs w:val="0"/>
                <w:color w:val="000000"/>
                <w:sz w:val="22"/>
                <w:szCs w:val="22"/>
                <w:u w:val="none"/>
              </w:rPr>
            </w:pPr>
          </w:p>
        </w:tc>
      </w:tr>
      <w:tr w14:paraId="5212B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6B7F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2080505</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A1DDA">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机关事业单位基本养老保险缴费支出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39958">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97.59</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FA945">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97.59</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83B65">
            <w:pPr>
              <w:jc w:val="right"/>
              <w:rPr>
                <w:rFonts w:hint="default" w:ascii="Times New Roman" w:hAnsi="Times New Roman" w:eastAsia="宋体" w:cs="Times New Roman"/>
                <w:i w:val="0"/>
                <w:iCs w:val="0"/>
                <w:color w:val="000000"/>
                <w:sz w:val="22"/>
                <w:szCs w:val="22"/>
                <w:u w:val="none"/>
              </w:rPr>
            </w:pPr>
          </w:p>
        </w:tc>
      </w:tr>
      <w:tr w14:paraId="58BCA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2D36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20899</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7D91E">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其他社会保障和就业支出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AAA4D">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14.00</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533F2">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14.00</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CA0F7">
            <w:pPr>
              <w:jc w:val="right"/>
              <w:rPr>
                <w:rFonts w:hint="default" w:ascii="Times New Roman" w:hAnsi="Times New Roman" w:eastAsia="宋体" w:cs="Times New Roman"/>
                <w:i w:val="0"/>
                <w:iCs w:val="0"/>
                <w:color w:val="000000"/>
                <w:sz w:val="22"/>
                <w:szCs w:val="22"/>
                <w:u w:val="none"/>
              </w:rPr>
            </w:pPr>
          </w:p>
        </w:tc>
      </w:tr>
      <w:tr w14:paraId="33E9C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CC4D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2089999</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DCB26">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其他社会保障和就业支出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577C4">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14.00</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E6495">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14.00</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3367">
            <w:pPr>
              <w:jc w:val="right"/>
              <w:rPr>
                <w:rFonts w:hint="default" w:ascii="Times New Roman" w:hAnsi="Times New Roman" w:eastAsia="宋体" w:cs="Times New Roman"/>
                <w:i w:val="0"/>
                <w:iCs w:val="0"/>
                <w:color w:val="000000"/>
                <w:sz w:val="22"/>
                <w:szCs w:val="22"/>
                <w:u w:val="none"/>
              </w:rPr>
            </w:pPr>
          </w:p>
        </w:tc>
      </w:tr>
      <w:tr w14:paraId="1F012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29C2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210</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CD568">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卫生健康支出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7DFB2">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C1D8C">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3C6B3">
            <w:pPr>
              <w:jc w:val="right"/>
              <w:rPr>
                <w:rFonts w:hint="default" w:ascii="Times New Roman" w:hAnsi="Times New Roman" w:eastAsia="宋体" w:cs="Times New Roman"/>
                <w:i w:val="0"/>
                <w:iCs w:val="0"/>
                <w:color w:val="000000"/>
                <w:sz w:val="22"/>
                <w:szCs w:val="22"/>
                <w:u w:val="none"/>
              </w:rPr>
            </w:pPr>
          </w:p>
        </w:tc>
      </w:tr>
      <w:tr w14:paraId="1684C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4511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21011</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6F3C1">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行政事业单位医疗</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5BAFD">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4961C">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7047F">
            <w:pPr>
              <w:jc w:val="right"/>
              <w:rPr>
                <w:rFonts w:hint="default" w:ascii="Times New Roman" w:hAnsi="Times New Roman" w:eastAsia="宋体" w:cs="Times New Roman"/>
                <w:i w:val="0"/>
                <w:iCs w:val="0"/>
                <w:color w:val="000000"/>
                <w:sz w:val="22"/>
                <w:szCs w:val="22"/>
                <w:u w:val="none"/>
              </w:rPr>
            </w:pPr>
          </w:p>
        </w:tc>
      </w:tr>
      <w:tr w14:paraId="5C015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946C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2101102</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FBF20">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事业单位医疗</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83474">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45FEF">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52.58</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94C5C">
            <w:pPr>
              <w:jc w:val="right"/>
              <w:rPr>
                <w:rFonts w:hint="default" w:ascii="Times New Roman" w:hAnsi="Times New Roman" w:eastAsia="宋体" w:cs="Times New Roman"/>
                <w:i w:val="0"/>
                <w:iCs w:val="0"/>
                <w:color w:val="000000"/>
                <w:sz w:val="22"/>
                <w:szCs w:val="22"/>
                <w:u w:val="none"/>
              </w:rPr>
            </w:pPr>
          </w:p>
        </w:tc>
      </w:tr>
      <w:tr w14:paraId="051FE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A236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221</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38AAE">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住房保障支出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30C1E">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8BA1D">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C35FB">
            <w:pPr>
              <w:jc w:val="right"/>
              <w:rPr>
                <w:rFonts w:hint="default" w:ascii="Times New Roman" w:hAnsi="Times New Roman" w:eastAsia="宋体" w:cs="Times New Roman"/>
                <w:i w:val="0"/>
                <w:iCs w:val="0"/>
                <w:color w:val="000000"/>
                <w:sz w:val="22"/>
                <w:szCs w:val="22"/>
                <w:u w:val="none"/>
              </w:rPr>
            </w:pPr>
          </w:p>
        </w:tc>
      </w:tr>
      <w:tr w14:paraId="07571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486D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22102</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F9D89">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住房改革支出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8854C">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72A55">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5BEF9">
            <w:pPr>
              <w:jc w:val="right"/>
              <w:rPr>
                <w:rFonts w:hint="default" w:ascii="Times New Roman" w:hAnsi="Times New Roman" w:eastAsia="宋体" w:cs="Times New Roman"/>
                <w:i w:val="0"/>
                <w:iCs w:val="0"/>
                <w:color w:val="000000"/>
                <w:sz w:val="22"/>
                <w:szCs w:val="22"/>
                <w:u w:val="none"/>
              </w:rPr>
            </w:pPr>
          </w:p>
        </w:tc>
      </w:tr>
      <w:tr w14:paraId="71C84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4230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2210201</w:t>
            </w:r>
          </w:p>
        </w:tc>
        <w:tc>
          <w:tcPr>
            <w:tcW w:w="15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1CDF4">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住房公积金</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93211">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FD226">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99.63</w:t>
            </w:r>
          </w:p>
        </w:tc>
        <w:tc>
          <w:tcPr>
            <w:tcW w:w="9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2053D">
            <w:pPr>
              <w:jc w:val="right"/>
              <w:rPr>
                <w:rFonts w:hint="default" w:ascii="Times New Roman" w:hAnsi="Times New Roman" w:eastAsia="宋体" w:cs="Times New Roman"/>
                <w:i w:val="0"/>
                <w:iCs w:val="0"/>
                <w:color w:val="000000"/>
                <w:sz w:val="22"/>
                <w:szCs w:val="22"/>
                <w:u w:val="none"/>
              </w:rPr>
            </w:pPr>
          </w:p>
        </w:tc>
      </w:tr>
      <w:tr w14:paraId="1E811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5"/>
            <w:tcBorders>
              <w:top w:val="nil"/>
              <w:left w:val="nil"/>
              <w:bottom w:val="nil"/>
              <w:right w:val="nil"/>
            </w:tcBorders>
            <w:shd w:val="clear" w:color="auto" w:fill="auto"/>
            <w:noWrap/>
            <w:vAlign w:val="center"/>
          </w:tcPr>
          <w:p w14:paraId="1DAAED49">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注：本表反映部门本年度一般公共预算财政拨款支出情况。</w:t>
            </w:r>
          </w:p>
        </w:tc>
      </w:tr>
    </w:tbl>
    <w:p w14:paraId="1ECA89D7">
      <w:pPr>
        <w:widowControl/>
        <w:spacing w:line="400" w:lineRule="exact"/>
        <w:jc w:val="center"/>
        <w:textAlignment w:val="center"/>
        <w:rPr>
          <w:rFonts w:ascii="Times New Roman" w:hAnsi="Times New Roman" w:eastAsia="仿宋_GB2312" w:cs="Times New Roman"/>
          <w:color w:val="000000"/>
          <w:kern w:val="0"/>
          <w:sz w:val="32"/>
          <w:szCs w:val="32"/>
          <w:lang w:bidi="ar"/>
        </w:rPr>
      </w:pPr>
    </w:p>
    <w:p w14:paraId="0E7047F3">
      <w:pPr>
        <w:pStyle w:val="2"/>
        <w:rPr>
          <w:rFonts w:ascii="Times New Roman" w:hAnsi="Times New Roman" w:eastAsia="仿宋_GB2312" w:cs="Times New Roman"/>
          <w:color w:val="000000"/>
          <w:kern w:val="0"/>
          <w:sz w:val="32"/>
          <w:szCs w:val="32"/>
          <w:lang w:bidi="ar"/>
        </w:rPr>
      </w:pPr>
    </w:p>
    <w:p w14:paraId="6B53674D">
      <w:pPr>
        <w:pStyle w:val="3"/>
        <w:rPr>
          <w:rFonts w:ascii="Times New Roman" w:hAnsi="Times New Roman" w:eastAsia="仿宋_GB2312" w:cs="Times New Roman"/>
          <w:color w:val="000000"/>
          <w:kern w:val="0"/>
          <w:sz w:val="32"/>
          <w:szCs w:val="32"/>
          <w:lang w:bidi="ar"/>
        </w:rPr>
      </w:pPr>
    </w:p>
    <w:p w14:paraId="3E94D1D4">
      <w:pPr>
        <w:pStyle w:val="3"/>
        <w:ind w:left="0" w:leftChars="0" w:firstLine="0" w:firstLineChars="0"/>
      </w:pPr>
    </w:p>
    <w:p w14:paraId="5AD20332"/>
    <w:p w14:paraId="63376BF6">
      <w:pPr>
        <w:pStyle w:val="2"/>
      </w:pPr>
    </w:p>
    <w:p w14:paraId="6039AF94">
      <w:pPr>
        <w:pStyle w:val="3"/>
      </w:pPr>
    </w:p>
    <w:p w14:paraId="5E6EF64A"/>
    <w:p w14:paraId="6D043B52">
      <w:pPr>
        <w:pStyle w:val="2"/>
      </w:pPr>
    </w:p>
    <w:p w14:paraId="498E5758">
      <w:pPr>
        <w:pStyle w:val="3"/>
      </w:pPr>
    </w:p>
    <w:p w14:paraId="61493455"/>
    <w:p w14:paraId="50B8D62C">
      <w:pPr>
        <w:pStyle w:val="2"/>
      </w:pPr>
    </w:p>
    <w:p w14:paraId="0B7D7FD5">
      <w:pPr>
        <w:pStyle w:val="3"/>
      </w:pPr>
    </w:p>
    <w:p w14:paraId="78405C7F"/>
    <w:p w14:paraId="1DC9080A">
      <w:pPr>
        <w:pStyle w:val="2"/>
      </w:pPr>
    </w:p>
    <w:p w14:paraId="3E68C699">
      <w:pPr>
        <w:pStyle w:val="3"/>
      </w:pPr>
    </w:p>
    <w:p w14:paraId="7E522170"/>
    <w:p w14:paraId="294FCE6C">
      <w:pPr>
        <w:pStyle w:val="2"/>
      </w:pPr>
    </w:p>
    <w:p w14:paraId="120007FB">
      <w:pPr>
        <w:pStyle w:val="3"/>
      </w:pPr>
    </w:p>
    <w:p w14:paraId="41DB2D9F"/>
    <w:p w14:paraId="21F6E322">
      <w:pPr>
        <w:pStyle w:val="2"/>
      </w:pPr>
    </w:p>
    <w:p w14:paraId="5BD286C8"/>
    <w:p w14:paraId="616026FA">
      <w:pPr>
        <w:pStyle w:val="2"/>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0"/>
        <w:gridCol w:w="2805"/>
        <w:gridCol w:w="1028"/>
        <w:gridCol w:w="1067"/>
        <w:gridCol w:w="2333"/>
        <w:gridCol w:w="1117"/>
        <w:gridCol w:w="1250"/>
        <w:gridCol w:w="2817"/>
        <w:gridCol w:w="1159"/>
      </w:tblGrid>
      <w:tr w14:paraId="01749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000" w:type="pct"/>
            <w:gridSpan w:val="9"/>
            <w:tcBorders>
              <w:top w:val="nil"/>
              <w:left w:val="nil"/>
              <w:bottom w:val="nil"/>
              <w:right w:val="nil"/>
            </w:tcBorders>
            <w:shd w:val="clear" w:color="auto" w:fill="auto"/>
            <w:noWrap/>
            <w:vAlign w:val="center"/>
          </w:tcPr>
          <w:p w14:paraId="0F4A7A23">
            <w:pPr>
              <w:keepNext w:val="0"/>
              <w:keepLines w:val="0"/>
              <w:widowControl/>
              <w:suppressLineNumbers w:val="0"/>
              <w:jc w:val="center"/>
              <w:textAlignment w:val="center"/>
              <w:rPr>
                <w:rFonts w:ascii="黑体" w:hAnsi="宋体" w:eastAsia="黑体" w:cs="黑体"/>
                <w:i w:val="0"/>
                <w:iCs w:val="0"/>
                <w:color w:val="000000"/>
                <w:sz w:val="36"/>
                <w:szCs w:val="36"/>
                <w:u w:val="none"/>
              </w:rPr>
            </w:pPr>
            <w:r>
              <w:rPr>
                <w:rFonts w:hint="eastAsia" w:ascii="黑体" w:hAnsi="宋体" w:eastAsia="黑体" w:cs="黑体"/>
                <w:i w:val="0"/>
                <w:iCs w:val="0"/>
                <w:color w:val="000000"/>
                <w:kern w:val="0"/>
                <w:sz w:val="36"/>
                <w:szCs w:val="36"/>
                <w:u w:val="none"/>
                <w:lang w:val="en-US" w:eastAsia="zh-CN" w:bidi="ar"/>
              </w:rPr>
              <w:t>一般公共预算财政拨款基本支出决算明细表</w:t>
            </w:r>
          </w:p>
        </w:tc>
      </w:tr>
      <w:tr w14:paraId="08D27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09" w:type="pct"/>
            <w:tcBorders>
              <w:top w:val="nil"/>
              <w:left w:val="nil"/>
              <w:bottom w:val="nil"/>
              <w:right w:val="nil"/>
            </w:tcBorders>
            <w:shd w:val="clear" w:color="auto" w:fill="auto"/>
            <w:noWrap/>
            <w:vAlign w:val="center"/>
          </w:tcPr>
          <w:p w14:paraId="67DE9F11">
            <w:pPr>
              <w:rPr>
                <w:rFonts w:hint="eastAsia" w:ascii="仿宋_GB2312" w:hAnsi="宋体" w:eastAsia="仿宋_GB2312" w:cs="仿宋_GB2312"/>
                <w:i w:val="0"/>
                <w:iCs w:val="0"/>
                <w:color w:val="000000"/>
                <w:sz w:val="22"/>
                <w:szCs w:val="22"/>
                <w:u w:val="none"/>
              </w:rPr>
            </w:pPr>
          </w:p>
        </w:tc>
        <w:tc>
          <w:tcPr>
            <w:tcW w:w="948" w:type="pct"/>
            <w:tcBorders>
              <w:top w:val="nil"/>
              <w:left w:val="nil"/>
              <w:bottom w:val="nil"/>
              <w:right w:val="nil"/>
            </w:tcBorders>
            <w:shd w:val="clear" w:color="auto" w:fill="auto"/>
            <w:noWrap/>
            <w:vAlign w:val="center"/>
          </w:tcPr>
          <w:p w14:paraId="7A6E44D0">
            <w:pPr>
              <w:rPr>
                <w:rFonts w:hint="eastAsia" w:ascii="仿宋_GB2312" w:hAnsi="宋体" w:eastAsia="仿宋_GB2312" w:cs="仿宋_GB2312"/>
                <w:i w:val="0"/>
                <w:iCs w:val="0"/>
                <w:color w:val="000000"/>
                <w:sz w:val="22"/>
                <w:szCs w:val="22"/>
                <w:u w:val="none"/>
              </w:rPr>
            </w:pPr>
          </w:p>
        </w:tc>
        <w:tc>
          <w:tcPr>
            <w:tcW w:w="347" w:type="pct"/>
            <w:tcBorders>
              <w:top w:val="nil"/>
              <w:left w:val="nil"/>
              <w:bottom w:val="nil"/>
              <w:right w:val="nil"/>
            </w:tcBorders>
            <w:shd w:val="clear" w:color="auto" w:fill="auto"/>
            <w:noWrap/>
            <w:vAlign w:val="center"/>
          </w:tcPr>
          <w:p w14:paraId="0BDD873D">
            <w:pPr>
              <w:rPr>
                <w:rFonts w:hint="eastAsia" w:ascii="仿宋_GB2312" w:hAnsi="宋体" w:eastAsia="仿宋_GB2312" w:cs="仿宋_GB2312"/>
                <w:i w:val="0"/>
                <w:iCs w:val="0"/>
                <w:color w:val="000000"/>
                <w:sz w:val="22"/>
                <w:szCs w:val="22"/>
                <w:u w:val="none"/>
              </w:rPr>
            </w:pPr>
          </w:p>
        </w:tc>
        <w:tc>
          <w:tcPr>
            <w:tcW w:w="360" w:type="pct"/>
            <w:tcBorders>
              <w:top w:val="nil"/>
              <w:left w:val="nil"/>
              <w:bottom w:val="nil"/>
              <w:right w:val="nil"/>
            </w:tcBorders>
            <w:shd w:val="clear" w:color="auto" w:fill="auto"/>
            <w:noWrap/>
            <w:vAlign w:val="center"/>
          </w:tcPr>
          <w:p w14:paraId="7F29A12A">
            <w:pPr>
              <w:rPr>
                <w:rFonts w:hint="eastAsia" w:ascii="仿宋_GB2312" w:hAnsi="宋体" w:eastAsia="仿宋_GB2312" w:cs="仿宋_GB2312"/>
                <w:i w:val="0"/>
                <w:iCs w:val="0"/>
                <w:color w:val="000000"/>
                <w:sz w:val="22"/>
                <w:szCs w:val="22"/>
                <w:u w:val="none"/>
              </w:rPr>
            </w:pPr>
          </w:p>
        </w:tc>
        <w:tc>
          <w:tcPr>
            <w:tcW w:w="788" w:type="pct"/>
            <w:tcBorders>
              <w:top w:val="nil"/>
              <w:left w:val="nil"/>
              <w:bottom w:val="nil"/>
              <w:right w:val="nil"/>
            </w:tcBorders>
            <w:shd w:val="clear" w:color="auto" w:fill="auto"/>
            <w:noWrap/>
            <w:vAlign w:val="center"/>
          </w:tcPr>
          <w:p w14:paraId="5E69AA7A">
            <w:pPr>
              <w:rPr>
                <w:rFonts w:hint="eastAsia" w:ascii="仿宋_GB2312" w:hAnsi="宋体" w:eastAsia="仿宋_GB2312" w:cs="仿宋_GB2312"/>
                <w:i w:val="0"/>
                <w:iCs w:val="0"/>
                <w:color w:val="000000"/>
                <w:sz w:val="22"/>
                <w:szCs w:val="22"/>
                <w:u w:val="none"/>
              </w:rPr>
            </w:pPr>
          </w:p>
        </w:tc>
        <w:tc>
          <w:tcPr>
            <w:tcW w:w="377" w:type="pct"/>
            <w:tcBorders>
              <w:top w:val="nil"/>
              <w:left w:val="nil"/>
              <w:bottom w:val="nil"/>
              <w:right w:val="nil"/>
            </w:tcBorders>
            <w:shd w:val="clear" w:color="auto" w:fill="auto"/>
            <w:noWrap/>
            <w:vAlign w:val="center"/>
          </w:tcPr>
          <w:p w14:paraId="5BB705B6">
            <w:pPr>
              <w:rPr>
                <w:rFonts w:hint="eastAsia" w:ascii="仿宋_GB2312" w:hAnsi="宋体" w:eastAsia="仿宋_GB2312" w:cs="仿宋_GB2312"/>
                <w:i w:val="0"/>
                <w:iCs w:val="0"/>
                <w:color w:val="000000"/>
                <w:sz w:val="22"/>
                <w:szCs w:val="22"/>
                <w:u w:val="none"/>
              </w:rPr>
            </w:pPr>
          </w:p>
        </w:tc>
        <w:tc>
          <w:tcPr>
            <w:tcW w:w="422" w:type="pct"/>
            <w:tcBorders>
              <w:top w:val="nil"/>
              <w:left w:val="nil"/>
              <w:bottom w:val="nil"/>
              <w:right w:val="nil"/>
            </w:tcBorders>
            <w:shd w:val="clear" w:color="auto" w:fill="auto"/>
            <w:noWrap/>
            <w:vAlign w:val="center"/>
          </w:tcPr>
          <w:p w14:paraId="58FC5F3C">
            <w:pPr>
              <w:rPr>
                <w:rFonts w:hint="eastAsia" w:ascii="仿宋_GB2312" w:hAnsi="宋体" w:eastAsia="仿宋_GB2312" w:cs="仿宋_GB2312"/>
                <w:i w:val="0"/>
                <w:iCs w:val="0"/>
                <w:color w:val="000000"/>
                <w:sz w:val="22"/>
                <w:szCs w:val="22"/>
                <w:u w:val="none"/>
              </w:rPr>
            </w:pPr>
          </w:p>
        </w:tc>
        <w:tc>
          <w:tcPr>
            <w:tcW w:w="952" w:type="pct"/>
            <w:tcBorders>
              <w:top w:val="nil"/>
              <w:left w:val="nil"/>
              <w:bottom w:val="nil"/>
              <w:right w:val="nil"/>
            </w:tcBorders>
            <w:shd w:val="clear" w:color="auto" w:fill="auto"/>
            <w:noWrap/>
            <w:vAlign w:val="center"/>
          </w:tcPr>
          <w:p w14:paraId="45B28919">
            <w:pPr>
              <w:rPr>
                <w:rFonts w:hint="eastAsia" w:ascii="仿宋_GB2312" w:hAnsi="宋体" w:eastAsia="仿宋_GB2312" w:cs="仿宋_GB2312"/>
                <w:i w:val="0"/>
                <w:iCs w:val="0"/>
                <w:color w:val="000000"/>
                <w:sz w:val="22"/>
                <w:szCs w:val="22"/>
                <w:u w:val="none"/>
              </w:rPr>
            </w:pPr>
          </w:p>
        </w:tc>
        <w:tc>
          <w:tcPr>
            <w:tcW w:w="391" w:type="pct"/>
            <w:tcBorders>
              <w:top w:val="nil"/>
              <w:left w:val="nil"/>
              <w:bottom w:val="nil"/>
              <w:right w:val="nil"/>
            </w:tcBorders>
            <w:shd w:val="clear" w:color="auto" w:fill="auto"/>
            <w:noWrap/>
            <w:vAlign w:val="bottom"/>
          </w:tcPr>
          <w:p w14:paraId="3C33B8DC">
            <w:pPr>
              <w:keepNext w:val="0"/>
              <w:keepLines w:val="0"/>
              <w:widowControl/>
              <w:suppressLineNumbers w:val="0"/>
              <w:jc w:val="left"/>
              <w:textAlignment w:val="bottom"/>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公开06表</w:t>
            </w:r>
          </w:p>
        </w:tc>
      </w:tr>
      <w:tr w14:paraId="18344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57" w:type="pct"/>
            <w:gridSpan w:val="2"/>
            <w:tcBorders>
              <w:top w:val="nil"/>
              <w:left w:val="nil"/>
              <w:bottom w:val="nil"/>
              <w:right w:val="nil"/>
            </w:tcBorders>
            <w:shd w:val="clear" w:color="auto" w:fill="auto"/>
            <w:noWrap/>
            <w:vAlign w:val="center"/>
          </w:tcPr>
          <w:p w14:paraId="29DF944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部门：湖南省知识产权保护中心</w:t>
            </w:r>
          </w:p>
        </w:tc>
        <w:tc>
          <w:tcPr>
            <w:tcW w:w="347" w:type="pct"/>
            <w:tcBorders>
              <w:top w:val="nil"/>
              <w:left w:val="nil"/>
              <w:bottom w:val="nil"/>
              <w:right w:val="nil"/>
            </w:tcBorders>
            <w:shd w:val="clear" w:color="auto" w:fill="auto"/>
            <w:noWrap/>
            <w:vAlign w:val="center"/>
          </w:tcPr>
          <w:p w14:paraId="025B831F">
            <w:pPr>
              <w:rPr>
                <w:rFonts w:hint="eastAsia" w:ascii="仿宋_GB2312" w:hAnsi="宋体" w:eastAsia="仿宋_GB2312" w:cs="仿宋_GB2312"/>
                <w:i w:val="0"/>
                <w:iCs w:val="0"/>
                <w:color w:val="000000"/>
                <w:sz w:val="22"/>
                <w:szCs w:val="22"/>
                <w:u w:val="none"/>
              </w:rPr>
            </w:pPr>
          </w:p>
        </w:tc>
        <w:tc>
          <w:tcPr>
            <w:tcW w:w="360" w:type="pct"/>
            <w:tcBorders>
              <w:top w:val="nil"/>
              <w:left w:val="nil"/>
              <w:bottom w:val="nil"/>
              <w:right w:val="nil"/>
            </w:tcBorders>
            <w:shd w:val="clear" w:color="auto" w:fill="auto"/>
            <w:noWrap/>
            <w:vAlign w:val="center"/>
          </w:tcPr>
          <w:p w14:paraId="25EA9BCE">
            <w:pPr>
              <w:rPr>
                <w:rFonts w:hint="eastAsia" w:ascii="仿宋_GB2312" w:hAnsi="宋体" w:eastAsia="仿宋_GB2312" w:cs="仿宋_GB2312"/>
                <w:i w:val="0"/>
                <w:iCs w:val="0"/>
                <w:color w:val="000000"/>
                <w:sz w:val="22"/>
                <w:szCs w:val="22"/>
                <w:u w:val="none"/>
              </w:rPr>
            </w:pPr>
          </w:p>
        </w:tc>
        <w:tc>
          <w:tcPr>
            <w:tcW w:w="788" w:type="pct"/>
            <w:tcBorders>
              <w:top w:val="nil"/>
              <w:left w:val="nil"/>
              <w:bottom w:val="nil"/>
              <w:right w:val="nil"/>
            </w:tcBorders>
            <w:shd w:val="clear" w:color="auto" w:fill="auto"/>
            <w:noWrap/>
            <w:vAlign w:val="center"/>
          </w:tcPr>
          <w:p w14:paraId="1668C724">
            <w:pPr>
              <w:rPr>
                <w:rFonts w:hint="eastAsia" w:ascii="仿宋_GB2312" w:hAnsi="宋体" w:eastAsia="仿宋_GB2312" w:cs="仿宋_GB2312"/>
                <w:i w:val="0"/>
                <w:iCs w:val="0"/>
                <w:color w:val="000000"/>
                <w:sz w:val="22"/>
                <w:szCs w:val="22"/>
                <w:u w:val="none"/>
              </w:rPr>
            </w:pPr>
          </w:p>
        </w:tc>
        <w:tc>
          <w:tcPr>
            <w:tcW w:w="377" w:type="pct"/>
            <w:tcBorders>
              <w:top w:val="nil"/>
              <w:left w:val="nil"/>
              <w:bottom w:val="nil"/>
              <w:right w:val="nil"/>
            </w:tcBorders>
            <w:shd w:val="clear" w:color="auto" w:fill="auto"/>
            <w:noWrap/>
            <w:vAlign w:val="center"/>
          </w:tcPr>
          <w:p w14:paraId="2DB19331">
            <w:pPr>
              <w:rPr>
                <w:rFonts w:hint="eastAsia" w:ascii="仿宋_GB2312" w:hAnsi="宋体" w:eastAsia="仿宋_GB2312" w:cs="仿宋_GB2312"/>
                <w:i w:val="0"/>
                <w:iCs w:val="0"/>
                <w:color w:val="000000"/>
                <w:sz w:val="22"/>
                <w:szCs w:val="22"/>
                <w:u w:val="none"/>
              </w:rPr>
            </w:pPr>
          </w:p>
        </w:tc>
        <w:tc>
          <w:tcPr>
            <w:tcW w:w="422" w:type="pct"/>
            <w:tcBorders>
              <w:top w:val="nil"/>
              <w:left w:val="nil"/>
              <w:bottom w:val="nil"/>
              <w:right w:val="nil"/>
            </w:tcBorders>
            <w:shd w:val="clear" w:color="auto" w:fill="auto"/>
            <w:noWrap/>
            <w:vAlign w:val="center"/>
          </w:tcPr>
          <w:p w14:paraId="120AD7AC">
            <w:pPr>
              <w:rPr>
                <w:rFonts w:hint="eastAsia" w:ascii="仿宋_GB2312" w:hAnsi="宋体" w:eastAsia="仿宋_GB2312" w:cs="仿宋_GB2312"/>
                <w:i w:val="0"/>
                <w:iCs w:val="0"/>
                <w:color w:val="000000"/>
                <w:sz w:val="22"/>
                <w:szCs w:val="22"/>
                <w:u w:val="none"/>
              </w:rPr>
            </w:pPr>
          </w:p>
        </w:tc>
        <w:tc>
          <w:tcPr>
            <w:tcW w:w="952" w:type="pct"/>
            <w:tcBorders>
              <w:top w:val="nil"/>
              <w:left w:val="nil"/>
              <w:bottom w:val="nil"/>
              <w:right w:val="nil"/>
            </w:tcBorders>
            <w:shd w:val="clear" w:color="auto" w:fill="auto"/>
            <w:noWrap/>
            <w:vAlign w:val="center"/>
          </w:tcPr>
          <w:p w14:paraId="3C3E9A39">
            <w:pPr>
              <w:rPr>
                <w:rFonts w:hint="eastAsia" w:ascii="仿宋_GB2312" w:hAnsi="宋体" w:eastAsia="仿宋_GB2312" w:cs="仿宋_GB2312"/>
                <w:i w:val="0"/>
                <w:iCs w:val="0"/>
                <w:color w:val="000000"/>
                <w:sz w:val="22"/>
                <w:szCs w:val="22"/>
                <w:u w:val="none"/>
              </w:rPr>
            </w:pPr>
          </w:p>
        </w:tc>
        <w:tc>
          <w:tcPr>
            <w:tcW w:w="391" w:type="pct"/>
            <w:tcBorders>
              <w:top w:val="nil"/>
              <w:left w:val="nil"/>
              <w:bottom w:val="nil"/>
              <w:right w:val="nil"/>
            </w:tcBorders>
            <w:shd w:val="clear" w:color="auto" w:fill="auto"/>
            <w:noWrap/>
            <w:vAlign w:val="bottom"/>
          </w:tcPr>
          <w:p w14:paraId="5B1EF143">
            <w:pPr>
              <w:keepNext w:val="0"/>
              <w:keepLines w:val="0"/>
              <w:widowControl/>
              <w:suppressLineNumbers w:val="0"/>
              <w:jc w:val="left"/>
              <w:textAlignment w:val="bottom"/>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单位：万元</w:t>
            </w:r>
          </w:p>
        </w:tc>
      </w:tr>
      <w:tr w14:paraId="25060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FC610D">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经济分类</w:t>
            </w:r>
            <w:r>
              <w:rPr>
                <w:rFonts w:hint="eastAsia" w:ascii="仿宋_GB2312" w:hAnsi="宋体" w:eastAsia="仿宋_GB2312" w:cs="仿宋_GB2312"/>
                <w:b/>
                <w:bCs/>
                <w:i w:val="0"/>
                <w:iCs w:val="0"/>
                <w:color w:val="000000"/>
                <w:kern w:val="0"/>
                <w:sz w:val="21"/>
                <w:szCs w:val="21"/>
                <w:u w:val="none"/>
                <w:lang w:val="en-US" w:eastAsia="zh-CN" w:bidi="ar"/>
              </w:rPr>
              <w:br w:type="textWrapping"/>
            </w:r>
            <w:r>
              <w:rPr>
                <w:rFonts w:hint="eastAsia" w:ascii="仿宋_GB2312" w:hAnsi="宋体" w:eastAsia="仿宋_GB2312" w:cs="仿宋_GB2312"/>
                <w:b/>
                <w:bCs/>
                <w:i w:val="0"/>
                <w:iCs w:val="0"/>
                <w:color w:val="000000"/>
                <w:kern w:val="0"/>
                <w:sz w:val="21"/>
                <w:szCs w:val="21"/>
                <w:u w:val="none"/>
                <w:lang w:val="en-US" w:eastAsia="zh-CN" w:bidi="ar"/>
              </w:rPr>
              <w:t>科目编码</w:t>
            </w:r>
          </w:p>
        </w:tc>
        <w:tc>
          <w:tcPr>
            <w:tcW w:w="9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4801E5">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科目名称</w:t>
            </w:r>
          </w:p>
        </w:tc>
        <w:tc>
          <w:tcPr>
            <w:tcW w:w="34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404D82">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决算数</w:t>
            </w:r>
          </w:p>
        </w:tc>
        <w:tc>
          <w:tcPr>
            <w:tcW w:w="36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BC2B1E">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经济分类</w:t>
            </w:r>
            <w:r>
              <w:rPr>
                <w:rFonts w:hint="eastAsia" w:ascii="仿宋_GB2312" w:hAnsi="宋体" w:eastAsia="仿宋_GB2312" w:cs="仿宋_GB2312"/>
                <w:b/>
                <w:bCs/>
                <w:i w:val="0"/>
                <w:iCs w:val="0"/>
                <w:color w:val="000000"/>
                <w:kern w:val="0"/>
                <w:sz w:val="21"/>
                <w:szCs w:val="21"/>
                <w:u w:val="none"/>
                <w:lang w:val="en-US" w:eastAsia="zh-CN" w:bidi="ar"/>
              </w:rPr>
              <w:br w:type="textWrapping"/>
            </w:r>
            <w:r>
              <w:rPr>
                <w:rFonts w:hint="eastAsia" w:ascii="仿宋_GB2312" w:hAnsi="宋体" w:eastAsia="仿宋_GB2312" w:cs="仿宋_GB2312"/>
                <w:b/>
                <w:bCs/>
                <w:i w:val="0"/>
                <w:iCs w:val="0"/>
                <w:color w:val="000000"/>
                <w:kern w:val="0"/>
                <w:sz w:val="21"/>
                <w:szCs w:val="21"/>
                <w:u w:val="none"/>
                <w:lang w:val="en-US" w:eastAsia="zh-CN" w:bidi="ar"/>
              </w:rPr>
              <w:t>科目编码</w:t>
            </w:r>
          </w:p>
        </w:tc>
        <w:tc>
          <w:tcPr>
            <w:tcW w:w="7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E09FF2">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科目名称</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24569E">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决算数</w:t>
            </w:r>
          </w:p>
        </w:tc>
        <w:tc>
          <w:tcPr>
            <w:tcW w:w="42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63E000">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经济分类</w:t>
            </w:r>
            <w:r>
              <w:rPr>
                <w:rFonts w:hint="eastAsia" w:ascii="仿宋_GB2312" w:hAnsi="宋体" w:eastAsia="仿宋_GB2312" w:cs="仿宋_GB2312"/>
                <w:b/>
                <w:bCs/>
                <w:i w:val="0"/>
                <w:iCs w:val="0"/>
                <w:color w:val="000000"/>
                <w:kern w:val="0"/>
                <w:sz w:val="21"/>
                <w:szCs w:val="21"/>
                <w:u w:val="none"/>
                <w:lang w:val="en-US" w:eastAsia="zh-CN" w:bidi="ar"/>
              </w:rPr>
              <w:br w:type="textWrapping"/>
            </w:r>
            <w:r>
              <w:rPr>
                <w:rFonts w:hint="eastAsia" w:ascii="仿宋_GB2312" w:hAnsi="宋体" w:eastAsia="仿宋_GB2312" w:cs="仿宋_GB2312"/>
                <w:b/>
                <w:bCs/>
                <w:i w:val="0"/>
                <w:iCs w:val="0"/>
                <w:color w:val="000000"/>
                <w:kern w:val="0"/>
                <w:sz w:val="21"/>
                <w:szCs w:val="21"/>
                <w:u w:val="none"/>
                <w:lang w:val="en-US" w:eastAsia="zh-CN" w:bidi="ar"/>
              </w:rPr>
              <w:t>科目编码</w:t>
            </w:r>
          </w:p>
        </w:tc>
        <w:tc>
          <w:tcPr>
            <w:tcW w:w="9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57E561">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科目名称</w:t>
            </w:r>
          </w:p>
        </w:tc>
        <w:tc>
          <w:tcPr>
            <w:tcW w:w="3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7C7647">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lang w:val="en-US" w:eastAsia="zh-CN" w:bidi="ar"/>
              </w:rPr>
              <w:t>决算数</w:t>
            </w:r>
          </w:p>
        </w:tc>
      </w:tr>
      <w:tr w14:paraId="3C310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4865A8">
            <w:pPr>
              <w:jc w:val="center"/>
              <w:rPr>
                <w:rFonts w:hint="eastAsia" w:ascii="仿宋_GB2312" w:hAnsi="宋体" w:eastAsia="仿宋_GB2312" w:cs="仿宋_GB2312"/>
                <w:b/>
                <w:bCs/>
                <w:i w:val="0"/>
                <w:iCs w:val="0"/>
                <w:color w:val="000000"/>
                <w:sz w:val="21"/>
                <w:szCs w:val="21"/>
                <w:u w:val="none"/>
              </w:rPr>
            </w:pPr>
          </w:p>
        </w:tc>
        <w:tc>
          <w:tcPr>
            <w:tcW w:w="9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C9F048">
            <w:pPr>
              <w:jc w:val="center"/>
              <w:rPr>
                <w:rFonts w:hint="eastAsia" w:ascii="仿宋_GB2312" w:hAnsi="宋体" w:eastAsia="仿宋_GB2312" w:cs="仿宋_GB2312"/>
                <w:b/>
                <w:bCs/>
                <w:i w:val="0"/>
                <w:iCs w:val="0"/>
                <w:color w:val="000000"/>
                <w:sz w:val="21"/>
                <w:szCs w:val="21"/>
                <w:u w:val="none"/>
              </w:rPr>
            </w:pPr>
          </w:p>
        </w:tc>
        <w:tc>
          <w:tcPr>
            <w:tcW w:w="34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862CB9">
            <w:pPr>
              <w:jc w:val="center"/>
              <w:rPr>
                <w:rFonts w:hint="eastAsia" w:ascii="仿宋_GB2312" w:hAnsi="宋体" w:eastAsia="仿宋_GB2312" w:cs="仿宋_GB2312"/>
                <w:b/>
                <w:bCs/>
                <w:i w:val="0"/>
                <w:iCs w:val="0"/>
                <w:color w:val="000000"/>
                <w:sz w:val="21"/>
                <w:szCs w:val="21"/>
                <w:u w:val="none"/>
              </w:rPr>
            </w:pPr>
          </w:p>
        </w:tc>
        <w:tc>
          <w:tcPr>
            <w:tcW w:w="36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E6FEB0">
            <w:pPr>
              <w:jc w:val="center"/>
              <w:rPr>
                <w:rFonts w:hint="eastAsia" w:ascii="仿宋_GB2312" w:hAnsi="宋体" w:eastAsia="仿宋_GB2312" w:cs="仿宋_GB2312"/>
                <w:b/>
                <w:bCs/>
                <w:i w:val="0"/>
                <w:iCs w:val="0"/>
                <w:color w:val="000000"/>
                <w:sz w:val="21"/>
                <w:szCs w:val="21"/>
                <w:u w:val="none"/>
              </w:rPr>
            </w:pPr>
          </w:p>
        </w:tc>
        <w:tc>
          <w:tcPr>
            <w:tcW w:w="7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7A749C">
            <w:pPr>
              <w:jc w:val="center"/>
              <w:rPr>
                <w:rFonts w:hint="eastAsia" w:ascii="仿宋_GB2312" w:hAnsi="宋体" w:eastAsia="仿宋_GB2312" w:cs="仿宋_GB2312"/>
                <w:b/>
                <w:bCs/>
                <w:i w:val="0"/>
                <w:iCs w:val="0"/>
                <w:color w:val="000000"/>
                <w:sz w:val="21"/>
                <w:szCs w:val="21"/>
                <w:u w:val="none"/>
              </w:rPr>
            </w:pP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C505DF">
            <w:pPr>
              <w:jc w:val="center"/>
              <w:rPr>
                <w:rFonts w:hint="eastAsia" w:ascii="仿宋_GB2312" w:hAnsi="宋体" w:eastAsia="仿宋_GB2312" w:cs="仿宋_GB2312"/>
                <w:b/>
                <w:bCs/>
                <w:i w:val="0"/>
                <w:iCs w:val="0"/>
                <w:color w:val="000000"/>
                <w:sz w:val="21"/>
                <w:szCs w:val="21"/>
                <w:u w:val="none"/>
              </w:rPr>
            </w:pPr>
          </w:p>
        </w:tc>
        <w:tc>
          <w:tcPr>
            <w:tcW w:w="42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8916C1">
            <w:pPr>
              <w:jc w:val="center"/>
              <w:rPr>
                <w:rFonts w:hint="eastAsia" w:ascii="仿宋_GB2312" w:hAnsi="宋体" w:eastAsia="仿宋_GB2312" w:cs="仿宋_GB2312"/>
                <w:b/>
                <w:bCs/>
                <w:i w:val="0"/>
                <w:iCs w:val="0"/>
                <w:color w:val="000000"/>
                <w:sz w:val="21"/>
                <w:szCs w:val="21"/>
                <w:u w:val="none"/>
              </w:rPr>
            </w:pPr>
          </w:p>
        </w:tc>
        <w:tc>
          <w:tcPr>
            <w:tcW w:w="9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90D8CC">
            <w:pPr>
              <w:jc w:val="center"/>
              <w:rPr>
                <w:rFonts w:hint="eastAsia" w:ascii="仿宋_GB2312" w:hAnsi="宋体" w:eastAsia="仿宋_GB2312" w:cs="仿宋_GB2312"/>
                <w:b/>
                <w:bCs/>
                <w:i w:val="0"/>
                <w:iCs w:val="0"/>
                <w:color w:val="000000"/>
                <w:sz w:val="21"/>
                <w:szCs w:val="21"/>
                <w:u w:val="none"/>
              </w:rPr>
            </w:pPr>
          </w:p>
        </w:tc>
        <w:tc>
          <w:tcPr>
            <w:tcW w:w="3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10A06D">
            <w:pPr>
              <w:jc w:val="center"/>
              <w:rPr>
                <w:rFonts w:hint="eastAsia" w:ascii="仿宋_GB2312" w:hAnsi="宋体" w:eastAsia="仿宋_GB2312" w:cs="仿宋_GB2312"/>
                <w:b/>
                <w:bCs/>
                <w:i w:val="0"/>
                <w:iCs w:val="0"/>
                <w:color w:val="000000"/>
                <w:sz w:val="21"/>
                <w:szCs w:val="21"/>
                <w:u w:val="none"/>
              </w:rPr>
            </w:pPr>
          </w:p>
        </w:tc>
      </w:tr>
      <w:tr w14:paraId="74628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ABFA1">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AE84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工资福利支出</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A110B">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1,022.04</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BC2F0">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86DC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商品和服务支出</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9F0FD">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172.29</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B58EF">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307</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F65F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债务利息及费用支出</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F7793">
            <w:pPr>
              <w:jc w:val="right"/>
              <w:rPr>
                <w:rFonts w:hint="eastAsia" w:ascii="仿宋_GB2312" w:hAnsi="宋体" w:eastAsia="仿宋_GB2312" w:cs="仿宋_GB2312"/>
                <w:i w:val="0"/>
                <w:iCs w:val="0"/>
                <w:color w:val="000000"/>
                <w:sz w:val="20"/>
                <w:szCs w:val="20"/>
                <w:u w:val="none"/>
              </w:rPr>
            </w:pPr>
          </w:p>
        </w:tc>
      </w:tr>
      <w:tr w14:paraId="3CF64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CF6DA">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30101</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D552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基本工资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A067B">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203.18</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FCFB8">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30201</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C403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办公费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97129">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15.59</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D6608">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30701</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9355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国内债务付息</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395E1">
            <w:pPr>
              <w:jc w:val="right"/>
              <w:rPr>
                <w:rFonts w:hint="eastAsia" w:ascii="仿宋_GB2312" w:hAnsi="宋体" w:eastAsia="仿宋_GB2312" w:cs="仿宋_GB2312"/>
                <w:i w:val="0"/>
                <w:iCs w:val="0"/>
                <w:color w:val="000000"/>
                <w:sz w:val="20"/>
                <w:szCs w:val="20"/>
                <w:u w:val="none"/>
              </w:rPr>
            </w:pPr>
          </w:p>
        </w:tc>
      </w:tr>
      <w:tr w14:paraId="13271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EB5F5">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30102</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0DC3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津贴补贴</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D272D">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84.83</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AC4CB">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30202</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6ECF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印刷费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5F987">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2.89</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EA275">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30702</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88E1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国外债务付息</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F959F">
            <w:pPr>
              <w:jc w:val="right"/>
              <w:rPr>
                <w:rFonts w:hint="eastAsia" w:ascii="仿宋_GB2312" w:hAnsi="宋体" w:eastAsia="仿宋_GB2312" w:cs="仿宋_GB2312"/>
                <w:i w:val="0"/>
                <w:iCs w:val="0"/>
                <w:color w:val="000000"/>
                <w:sz w:val="20"/>
                <w:szCs w:val="20"/>
                <w:u w:val="none"/>
              </w:rPr>
            </w:pPr>
          </w:p>
        </w:tc>
      </w:tr>
      <w:tr w14:paraId="50357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2E355">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30103</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FD47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奖金</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4B456">
            <w:pPr>
              <w:jc w:val="right"/>
              <w:rPr>
                <w:rFonts w:hint="default" w:ascii="Times New Roman" w:hAnsi="Times New Roman" w:eastAsia="宋体" w:cs="Times New Roman"/>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A2F0B">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30203</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A9C0A">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咨询费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9CC40">
            <w:pPr>
              <w:jc w:val="right"/>
              <w:rPr>
                <w:rFonts w:hint="default" w:ascii="Times New Roman" w:hAnsi="Times New Roman" w:eastAsia="宋体" w:cs="Times New Roman"/>
                <w:i w:val="0"/>
                <w:iCs w:val="0"/>
                <w:color w:val="000000"/>
                <w:sz w:val="20"/>
                <w:szCs w:val="20"/>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DB972">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B423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资本性支出</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2974B">
            <w:pPr>
              <w:jc w:val="right"/>
              <w:rPr>
                <w:rFonts w:hint="eastAsia" w:ascii="仿宋_GB2312" w:hAnsi="宋体" w:eastAsia="仿宋_GB2312" w:cs="仿宋_GB2312"/>
                <w:i w:val="0"/>
                <w:iCs w:val="0"/>
                <w:color w:val="000000"/>
                <w:sz w:val="20"/>
                <w:szCs w:val="20"/>
                <w:u w:val="none"/>
              </w:rPr>
            </w:pPr>
          </w:p>
        </w:tc>
      </w:tr>
      <w:tr w14:paraId="2FD8A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38FBB">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30106</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64E6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伙食补助费</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0E03A">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50.31</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24FE0">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30204</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57E4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手续费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D2F1B">
            <w:pPr>
              <w:jc w:val="right"/>
              <w:rPr>
                <w:rFonts w:hint="default" w:ascii="Times New Roman" w:hAnsi="Times New Roman" w:eastAsia="宋体" w:cs="Times New Roman"/>
                <w:i w:val="0"/>
                <w:iCs w:val="0"/>
                <w:color w:val="000000"/>
                <w:sz w:val="20"/>
                <w:szCs w:val="20"/>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6AD29">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31001</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33BB3">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房屋建筑物购建</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F8002">
            <w:pPr>
              <w:jc w:val="right"/>
              <w:rPr>
                <w:rFonts w:hint="eastAsia" w:ascii="仿宋_GB2312" w:hAnsi="宋体" w:eastAsia="仿宋_GB2312" w:cs="仿宋_GB2312"/>
                <w:i w:val="0"/>
                <w:iCs w:val="0"/>
                <w:color w:val="000000"/>
                <w:sz w:val="20"/>
                <w:szCs w:val="20"/>
                <w:u w:val="none"/>
              </w:rPr>
            </w:pPr>
          </w:p>
        </w:tc>
      </w:tr>
      <w:tr w14:paraId="7B546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03AF7">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30107</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35C1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绩效工资</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FD712">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413.21</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26F26">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30205</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BEDE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水费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73D2F">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0.63</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5AFF2">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31002</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5B479">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办公设备购置</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DEE41">
            <w:pPr>
              <w:jc w:val="right"/>
              <w:rPr>
                <w:rFonts w:hint="eastAsia" w:ascii="仿宋_GB2312" w:hAnsi="宋体" w:eastAsia="仿宋_GB2312" w:cs="仿宋_GB2312"/>
                <w:i w:val="0"/>
                <w:iCs w:val="0"/>
                <w:color w:val="000000"/>
                <w:sz w:val="20"/>
                <w:szCs w:val="20"/>
                <w:u w:val="none"/>
              </w:rPr>
            </w:pPr>
          </w:p>
        </w:tc>
      </w:tr>
      <w:tr w14:paraId="62E7A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439D0">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30108</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B504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机关事业单位基本养老保险缴费</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F1ED8">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90.51</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20B80">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30206</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0CE5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电费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C4D53">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18.00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11F4C">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31003</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F591A">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专用设备购置</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DCC29">
            <w:pPr>
              <w:jc w:val="right"/>
              <w:rPr>
                <w:rFonts w:hint="eastAsia" w:ascii="仿宋_GB2312" w:hAnsi="宋体" w:eastAsia="仿宋_GB2312" w:cs="仿宋_GB2312"/>
                <w:i w:val="0"/>
                <w:iCs w:val="0"/>
                <w:color w:val="000000"/>
                <w:sz w:val="20"/>
                <w:szCs w:val="20"/>
                <w:u w:val="none"/>
              </w:rPr>
            </w:pPr>
          </w:p>
        </w:tc>
      </w:tr>
      <w:tr w14:paraId="107C1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41EBC">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30109</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8895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职业年金缴费</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DCC5A">
            <w:pPr>
              <w:jc w:val="right"/>
              <w:rPr>
                <w:rFonts w:hint="default" w:ascii="Times New Roman" w:hAnsi="Times New Roman" w:eastAsia="宋体" w:cs="Times New Roman"/>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0887D">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30207</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36DC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邮电费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D64CE">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1.76</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9E84C">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31005</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733C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基础设施建设</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3266A">
            <w:pPr>
              <w:jc w:val="right"/>
              <w:rPr>
                <w:rFonts w:hint="eastAsia" w:ascii="仿宋_GB2312" w:hAnsi="宋体" w:eastAsia="仿宋_GB2312" w:cs="仿宋_GB2312"/>
                <w:i w:val="0"/>
                <w:iCs w:val="0"/>
                <w:color w:val="000000"/>
                <w:sz w:val="20"/>
                <w:szCs w:val="20"/>
                <w:u w:val="none"/>
              </w:rPr>
            </w:pPr>
          </w:p>
        </w:tc>
      </w:tr>
      <w:tr w14:paraId="06E39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62362">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30110</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5642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职工基本医疗保险缴费</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C3B52">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50.28</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72A6F">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30208</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1B9F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取暖费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5B527">
            <w:pPr>
              <w:jc w:val="right"/>
              <w:rPr>
                <w:rFonts w:hint="default" w:ascii="Times New Roman" w:hAnsi="Times New Roman" w:eastAsia="宋体" w:cs="Times New Roman"/>
                <w:i w:val="0"/>
                <w:iCs w:val="0"/>
                <w:color w:val="000000"/>
                <w:sz w:val="20"/>
                <w:szCs w:val="20"/>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2887C">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31006</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BAF1A">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大型修缮</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477C6">
            <w:pPr>
              <w:jc w:val="right"/>
              <w:rPr>
                <w:rFonts w:hint="eastAsia" w:ascii="仿宋_GB2312" w:hAnsi="宋体" w:eastAsia="仿宋_GB2312" w:cs="仿宋_GB2312"/>
                <w:i w:val="0"/>
                <w:iCs w:val="0"/>
                <w:color w:val="000000"/>
                <w:sz w:val="20"/>
                <w:szCs w:val="20"/>
                <w:u w:val="none"/>
              </w:rPr>
            </w:pPr>
          </w:p>
        </w:tc>
      </w:tr>
      <w:tr w14:paraId="0E9A7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75F99">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30111</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A6EE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公务员医疗补助缴费</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A9B2A">
            <w:pPr>
              <w:jc w:val="right"/>
              <w:rPr>
                <w:rFonts w:hint="default" w:ascii="Times New Roman" w:hAnsi="Times New Roman" w:eastAsia="宋体" w:cs="Times New Roman"/>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B5E9C">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30209</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6E29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物业管理费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F7204">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22.47</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8C8CA">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31007</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1A93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信息网络及软件购置更新</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3E30B">
            <w:pPr>
              <w:jc w:val="right"/>
              <w:rPr>
                <w:rFonts w:hint="eastAsia" w:ascii="仿宋_GB2312" w:hAnsi="宋体" w:eastAsia="仿宋_GB2312" w:cs="仿宋_GB2312"/>
                <w:i w:val="0"/>
                <w:iCs w:val="0"/>
                <w:color w:val="000000"/>
                <w:sz w:val="20"/>
                <w:szCs w:val="20"/>
                <w:u w:val="none"/>
              </w:rPr>
            </w:pPr>
          </w:p>
        </w:tc>
      </w:tr>
      <w:tr w14:paraId="1C118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226ED">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30112</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9230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其他社会保障缴费</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D4316">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14.09</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AC626">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30211</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CBF3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差旅费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2C979">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0.68</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B9547">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31008</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443C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物资储备</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EA88C">
            <w:pPr>
              <w:jc w:val="right"/>
              <w:rPr>
                <w:rFonts w:hint="eastAsia" w:ascii="仿宋_GB2312" w:hAnsi="宋体" w:eastAsia="仿宋_GB2312" w:cs="仿宋_GB2312"/>
                <w:i w:val="0"/>
                <w:iCs w:val="0"/>
                <w:color w:val="000000"/>
                <w:sz w:val="20"/>
                <w:szCs w:val="20"/>
                <w:u w:val="none"/>
              </w:rPr>
            </w:pPr>
          </w:p>
        </w:tc>
      </w:tr>
      <w:tr w14:paraId="0C447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6A5E9">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30113</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CB9A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住房公积金</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8A77A">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99.63</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AC107">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30212</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77E2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因公出国（境）费用</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530CA">
            <w:pPr>
              <w:jc w:val="right"/>
              <w:rPr>
                <w:rFonts w:hint="default" w:ascii="Times New Roman" w:hAnsi="Times New Roman" w:eastAsia="宋体" w:cs="Times New Roman"/>
                <w:i w:val="0"/>
                <w:iCs w:val="0"/>
                <w:color w:val="000000"/>
                <w:sz w:val="20"/>
                <w:szCs w:val="20"/>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D153C">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31009</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7200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土地补偿</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02231">
            <w:pPr>
              <w:jc w:val="right"/>
              <w:rPr>
                <w:rFonts w:hint="eastAsia" w:ascii="仿宋_GB2312" w:hAnsi="宋体" w:eastAsia="仿宋_GB2312" w:cs="仿宋_GB2312"/>
                <w:i w:val="0"/>
                <w:iCs w:val="0"/>
                <w:color w:val="000000"/>
                <w:sz w:val="20"/>
                <w:szCs w:val="20"/>
                <w:u w:val="none"/>
              </w:rPr>
            </w:pPr>
          </w:p>
        </w:tc>
      </w:tr>
      <w:tr w14:paraId="7B157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EF129">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30114</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DD54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医疗费</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2FFB7">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12.99</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D6B7B">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30213</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8849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维修（护）费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54DB5">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3.47</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71FA4">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31010</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A229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安置补助</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D0367">
            <w:pPr>
              <w:jc w:val="right"/>
              <w:rPr>
                <w:rFonts w:hint="eastAsia" w:ascii="仿宋_GB2312" w:hAnsi="宋体" w:eastAsia="仿宋_GB2312" w:cs="仿宋_GB2312"/>
                <w:i w:val="0"/>
                <w:iCs w:val="0"/>
                <w:color w:val="000000"/>
                <w:sz w:val="20"/>
                <w:szCs w:val="20"/>
                <w:u w:val="none"/>
              </w:rPr>
            </w:pPr>
          </w:p>
        </w:tc>
      </w:tr>
      <w:tr w14:paraId="63687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6032C">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30199</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4B21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其他工资福利支出</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DF774">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3.01</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5A674">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30214</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99E5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租赁费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AF134">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0.07</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4497D">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31011</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4B03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地上附着物和青苗补偿</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5E236">
            <w:pPr>
              <w:jc w:val="right"/>
              <w:rPr>
                <w:rFonts w:hint="eastAsia" w:ascii="仿宋_GB2312" w:hAnsi="宋体" w:eastAsia="仿宋_GB2312" w:cs="仿宋_GB2312"/>
                <w:i w:val="0"/>
                <w:iCs w:val="0"/>
                <w:color w:val="000000"/>
                <w:sz w:val="20"/>
                <w:szCs w:val="20"/>
                <w:u w:val="none"/>
              </w:rPr>
            </w:pPr>
          </w:p>
        </w:tc>
      </w:tr>
      <w:tr w14:paraId="05C46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A7BE7">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303</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B12E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对个人和家庭的补助</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85842">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2.62</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AC7A2">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30215</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38AA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会议费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951CA">
            <w:pPr>
              <w:jc w:val="right"/>
              <w:rPr>
                <w:rFonts w:hint="default" w:ascii="Times New Roman" w:hAnsi="Times New Roman" w:eastAsia="宋体" w:cs="Times New Roman"/>
                <w:i w:val="0"/>
                <w:iCs w:val="0"/>
                <w:color w:val="000000"/>
                <w:sz w:val="20"/>
                <w:szCs w:val="20"/>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602ED">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31012</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99ED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拆迁补偿</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EFAA2">
            <w:pPr>
              <w:jc w:val="right"/>
              <w:rPr>
                <w:rFonts w:hint="eastAsia" w:ascii="仿宋_GB2312" w:hAnsi="宋体" w:eastAsia="仿宋_GB2312" w:cs="仿宋_GB2312"/>
                <w:i w:val="0"/>
                <w:iCs w:val="0"/>
                <w:color w:val="000000"/>
                <w:sz w:val="20"/>
                <w:szCs w:val="20"/>
                <w:u w:val="none"/>
              </w:rPr>
            </w:pPr>
          </w:p>
        </w:tc>
      </w:tr>
      <w:tr w14:paraId="4241A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609C7">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30301</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5239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离休费</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BDA97">
            <w:pPr>
              <w:jc w:val="right"/>
              <w:rPr>
                <w:rFonts w:hint="default" w:ascii="Times New Roman" w:hAnsi="Times New Roman" w:eastAsia="宋体" w:cs="Times New Roman"/>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D2F7B">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30216</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4C37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培训费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A8C74">
            <w:pPr>
              <w:jc w:val="right"/>
              <w:rPr>
                <w:rFonts w:hint="default" w:ascii="Times New Roman" w:hAnsi="Times New Roman" w:eastAsia="宋体" w:cs="Times New Roman"/>
                <w:i w:val="0"/>
                <w:iCs w:val="0"/>
                <w:color w:val="000000"/>
                <w:sz w:val="20"/>
                <w:szCs w:val="20"/>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5C323">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31013</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863CA">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公务用车购置</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D4CE3">
            <w:pPr>
              <w:jc w:val="right"/>
              <w:rPr>
                <w:rFonts w:hint="eastAsia" w:ascii="仿宋_GB2312" w:hAnsi="宋体" w:eastAsia="仿宋_GB2312" w:cs="仿宋_GB2312"/>
                <w:i w:val="0"/>
                <w:iCs w:val="0"/>
                <w:color w:val="000000"/>
                <w:sz w:val="20"/>
                <w:szCs w:val="20"/>
                <w:u w:val="none"/>
              </w:rPr>
            </w:pPr>
          </w:p>
        </w:tc>
      </w:tr>
      <w:tr w14:paraId="689EA7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A6864">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30302</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9572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退休费</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7B85A">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2.62</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18B87">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30217</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26F7E">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公务接待费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918F3">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1.15</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AEB7B">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31019</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F50E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其他交通工具购置</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69698">
            <w:pPr>
              <w:jc w:val="right"/>
              <w:rPr>
                <w:rFonts w:hint="eastAsia" w:ascii="仿宋_GB2312" w:hAnsi="宋体" w:eastAsia="仿宋_GB2312" w:cs="仿宋_GB2312"/>
                <w:i w:val="0"/>
                <w:iCs w:val="0"/>
                <w:color w:val="000000"/>
                <w:sz w:val="20"/>
                <w:szCs w:val="20"/>
                <w:u w:val="none"/>
              </w:rPr>
            </w:pPr>
          </w:p>
        </w:tc>
      </w:tr>
      <w:tr w14:paraId="1D473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88DB3">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30303</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FD02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退职（役）费</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B9261">
            <w:pPr>
              <w:jc w:val="right"/>
              <w:rPr>
                <w:rFonts w:hint="default" w:ascii="Times New Roman" w:hAnsi="Times New Roman" w:eastAsia="宋体" w:cs="Times New Roman"/>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8E422">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30218</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5FDD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专用材料费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4D4CB">
            <w:pPr>
              <w:jc w:val="right"/>
              <w:rPr>
                <w:rFonts w:hint="default" w:ascii="Times New Roman" w:hAnsi="Times New Roman" w:eastAsia="宋体" w:cs="Times New Roman"/>
                <w:i w:val="0"/>
                <w:iCs w:val="0"/>
                <w:color w:val="000000"/>
                <w:sz w:val="20"/>
                <w:szCs w:val="20"/>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EE09F">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31021</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7735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文物和陈列品购置</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AEEAD">
            <w:pPr>
              <w:jc w:val="right"/>
              <w:rPr>
                <w:rFonts w:hint="eastAsia" w:ascii="仿宋_GB2312" w:hAnsi="宋体" w:eastAsia="仿宋_GB2312" w:cs="仿宋_GB2312"/>
                <w:i w:val="0"/>
                <w:iCs w:val="0"/>
                <w:color w:val="000000"/>
                <w:sz w:val="20"/>
                <w:szCs w:val="20"/>
                <w:u w:val="none"/>
              </w:rPr>
            </w:pPr>
          </w:p>
        </w:tc>
      </w:tr>
      <w:tr w14:paraId="1EAF4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DD630">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30304</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0FC7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抚恤金</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4F2B7">
            <w:pPr>
              <w:jc w:val="right"/>
              <w:rPr>
                <w:rFonts w:hint="default" w:ascii="Times New Roman" w:hAnsi="Times New Roman" w:eastAsia="宋体" w:cs="Times New Roman"/>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90B15">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30224</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17DDC">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被装购置费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B3CDD">
            <w:pPr>
              <w:jc w:val="right"/>
              <w:rPr>
                <w:rFonts w:hint="default" w:ascii="Times New Roman" w:hAnsi="Times New Roman" w:eastAsia="宋体" w:cs="Times New Roman"/>
                <w:i w:val="0"/>
                <w:iCs w:val="0"/>
                <w:color w:val="000000"/>
                <w:sz w:val="20"/>
                <w:szCs w:val="20"/>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8E074">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31022</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86DC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无形资产购置</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04B22">
            <w:pPr>
              <w:jc w:val="right"/>
              <w:rPr>
                <w:rFonts w:hint="eastAsia" w:ascii="仿宋_GB2312" w:hAnsi="宋体" w:eastAsia="仿宋_GB2312" w:cs="仿宋_GB2312"/>
                <w:i w:val="0"/>
                <w:iCs w:val="0"/>
                <w:color w:val="000000"/>
                <w:sz w:val="20"/>
                <w:szCs w:val="20"/>
                <w:u w:val="none"/>
              </w:rPr>
            </w:pPr>
          </w:p>
        </w:tc>
      </w:tr>
      <w:tr w14:paraId="382E6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3151D">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30305</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77E68">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生活补助</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59E82">
            <w:pPr>
              <w:jc w:val="right"/>
              <w:rPr>
                <w:rFonts w:hint="default" w:ascii="Times New Roman" w:hAnsi="Times New Roman" w:eastAsia="宋体" w:cs="Times New Roman"/>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52892">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30225</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8EBC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专用燃料费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F2DD2">
            <w:pPr>
              <w:jc w:val="right"/>
              <w:rPr>
                <w:rFonts w:hint="default" w:ascii="Times New Roman" w:hAnsi="Times New Roman" w:eastAsia="宋体" w:cs="Times New Roman"/>
                <w:i w:val="0"/>
                <w:iCs w:val="0"/>
                <w:color w:val="000000"/>
                <w:sz w:val="20"/>
                <w:szCs w:val="20"/>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39740">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31099</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82CC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其他资本性支出</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12BCF">
            <w:pPr>
              <w:jc w:val="right"/>
              <w:rPr>
                <w:rFonts w:hint="eastAsia" w:ascii="仿宋_GB2312" w:hAnsi="宋体" w:eastAsia="仿宋_GB2312" w:cs="仿宋_GB2312"/>
                <w:i w:val="0"/>
                <w:iCs w:val="0"/>
                <w:color w:val="000000"/>
                <w:sz w:val="20"/>
                <w:szCs w:val="20"/>
                <w:u w:val="none"/>
              </w:rPr>
            </w:pPr>
          </w:p>
        </w:tc>
      </w:tr>
      <w:tr w14:paraId="025D6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063CD">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30306</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124E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救济费</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A48F4">
            <w:pPr>
              <w:jc w:val="right"/>
              <w:rPr>
                <w:rFonts w:hint="default" w:ascii="Times New Roman" w:hAnsi="Times New Roman" w:eastAsia="宋体" w:cs="Times New Roman"/>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59A48">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30226</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D516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劳务费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E126B">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52.25</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BF290">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399</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A177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其他支出</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95306">
            <w:pPr>
              <w:jc w:val="right"/>
              <w:rPr>
                <w:rFonts w:hint="eastAsia" w:ascii="仿宋_GB2312" w:hAnsi="宋体" w:eastAsia="仿宋_GB2312" w:cs="仿宋_GB2312"/>
                <w:i w:val="0"/>
                <w:iCs w:val="0"/>
                <w:color w:val="000000"/>
                <w:sz w:val="20"/>
                <w:szCs w:val="20"/>
                <w:u w:val="none"/>
              </w:rPr>
            </w:pPr>
          </w:p>
        </w:tc>
      </w:tr>
      <w:tr w14:paraId="367B6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0E945">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30307</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E5FFB">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医疗费补助</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89857">
            <w:pPr>
              <w:jc w:val="right"/>
              <w:rPr>
                <w:rFonts w:hint="default" w:ascii="Times New Roman" w:hAnsi="Times New Roman" w:eastAsia="宋体" w:cs="Times New Roman"/>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3603C">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30227</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9254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委托业务费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E6021">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1.69</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825F4">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39907</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88DD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国家赔偿费用支出</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92BBB">
            <w:pPr>
              <w:jc w:val="right"/>
              <w:rPr>
                <w:rFonts w:hint="eastAsia" w:ascii="仿宋_GB2312" w:hAnsi="宋体" w:eastAsia="仿宋_GB2312" w:cs="仿宋_GB2312"/>
                <w:i w:val="0"/>
                <w:iCs w:val="0"/>
                <w:color w:val="000000"/>
                <w:sz w:val="20"/>
                <w:szCs w:val="20"/>
                <w:u w:val="none"/>
              </w:rPr>
            </w:pPr>
          </w:p>
        </w:tc>
      </w:tr>
      <w:tr w14:paraId="7C73B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B3B9E">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30308</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8F5F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助学金</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3CE6D">
            <w:pPr>
              <w:jc w:val="right"/>
              <w:rPr>
                <w:rFonts w:hint="default" w:ascii="Times New Roman" w:hAnsi="Times New Roman" w:eastAsia="宋体" w:cs="Times New Roman"/>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02AD5">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30228</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3C239">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工会经费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141C9">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33.00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F2529">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39908</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7806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对民间非营利组织和群众性自治组织补贴</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1E657">
            <w:pPr>
              <w:jc w:val="right"/>
              <w:rPr>
                <w:rFonts w:hint="eastAsia" w:ascii="仿宋_GB2312" w:hAnsi="宋体" w:eastAsia="仿宋_GB2312" w:cs="仿宋_GB2312"/>
                <w:i w:val="0"/>
                <w:iCs w:val="0"/>
                <w:color w:val="000000"/>
                <w:sz w:val="20"/>
                <w:szCs w:val="20"/>
                <w:u w:val="none"/>
              </w:rPr>
            </w:pPr>
          </w:p>
        </w:tc>
      </w:tr>
      <w:tr w14:paraId="6261A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CA0B3">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30309</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9ECD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奖励金</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DD438">
            <w:pPr>
              <w:jc w:val="right"/>
              <w:rPr>
                <w:rFonts w:hint="default" w:ascii="Times New Roman" w:hAnsi="Times New Roman" w:eastAsia="宋体" w:cs="Times New Roman"/>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FCAD4">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30229</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3C0F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福利费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2AAD8">
            <w:pPr>
              <w:jc w:val="right"/>
              <w:rPr>
                <w:rFonts w:hint="default" w:ascii="Times New Roman" w:hAnsi="Times New Roman" w:eastAsia="宋体" w:cs="Times New Roman"/>
                <w:i w:val="0"/>
                <w:iCs w:val="0"/>
                <w:color w:val="000000"/>
                <w:sz w:val="20"/>
                <w:szCs w:val="20"/>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30D96">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39909</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05F0A">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经常性赠与</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99B61">
            <w:pPr>
              <w:jc w:val="right"/>
              <w:rPr>
                <w:rFonts w:hint="eastAsia" w:ascii="仿宋_GB2312" w:hAnsi="宋体" w:eastAsia="仿宋_GB2312" w:cs="仿宋_GB2312"/>
                <w:i w:val="0"/>
                <w:iCs w:val="0"/>
                <w:color w:val="000000"/>
                <w:sz w:val="20"/>
                <w:szCs w:val="20"/>
                <w:u w:val="none"/>
              </w:rPr>
            </w:pPr>
          </w:p>
        </w:tc>
      </w:tr>
      <w:tr w14:paraId="13D03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FF171">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30310</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48389">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个人农业生产补贴</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67211">
            <w:pPr>
              <w:jc w:val="right"/>
              <w:rPr>
                <w:rFonts w:hint="default" w:ascii="Times New Roman" w:hAnsi="Times New Roman" w:eastAsia="宋体" w:cs="Times New Roman"/>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7ECC5">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30231</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8C202">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公务用车运行维护费</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FECFC">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3.13</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DA6DD">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39910</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257C4">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资本性赠与</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BAD44">
            <w:pPr>
              <w:jc w:val="right"/>
              <w:rPr>
                <w:rFonts w:hint="eastAsia" w:ascii="仿宋_GB2312" w:hAnsi="宋体" w:eastAsia="仿宋_GB2312" w:cs="仿宋_GB2312"/>
                <w:i w:val="0"/>
                <w:iCs w:val="0"/>
                <w:color w:val="000000"/>
                <w:sz w:val="20"/>
                <w:szCs w:val="20"/>
                <w:u w:val="none"/>
              </w:rPr>
            </w:pPr>
          </w:p>
        </w:tc>
      </w:tr>
      <w:tr w14:paraId="15457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4F62F">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30311</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F05E0">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代缴社会保险费</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BD79B">
            <w:pPr>
              <w:jc w:val="right"/>
              <w:rPr>
                <w:rFonts w:hint="default" w:ascii="Times New Roman" w:hAnsi="Times New Roman" w:eastAsia="宋体" w:cs="Times New Roman"/>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64BE4">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30239</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D2951">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其他交通费用</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C00A8">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7.33</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5CE4A">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39999</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C603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其他支出</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F8BFD">
            <w:pPr>
              <w:jc w:val="right"/>
              <w:rPr>
                <w:rFonts w:hint="eastAsia" w:ascii="仿宋_GB2312" w:hAnsi="宋体" w:eastAsia="仿宋_GB2312" w:cs="仿宋_GB2312"/>
                <w:i w:val="0"/>
                <w:iCs w:val="0"/>
                <w:color w:val="000000"/>
                <w:sz w:val="20"/>
                <w:szCs w:val="20"/>
                <w:u w:val="none"/>
              </w:rPr>
            </w:pPr>
          </w:p>
        </w:tc>
      </w:tr>
      <w:tr w14:paraId="2F21E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7F4B3">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30399</w:t>
            </w: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8357D">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其他对个人和家庭的补助</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F949D">
            <w:pPr>
              <w:jc w:val="right"/>
              <w:rPr>
                <w:rFonts w:hint="default" w:ascii="Times New Roman" w:hAnsi="Times New Roman" w:eastAsia="宋体" w:cs="Times New Roman"/>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C1D32">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30240</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28779">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税金及附加费用</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33B8C">
            <w:pPr>
              <w:jc w:val="right"/>
              <w:rPr>
                <w:rFonts w:hint="default" w:ascii="Times New Roman" w:hAnsi="Times New Roman" w:eastAsia="宋体" w:cs="Times New Roman"/>
                <w:i w:val="0"/>
                <w:iCs w:val="0"/>
                <w:color w:val="000000"/>
                <w:sz w:val="20"/>
                <w:szCs w:val="20"/>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E888F">
            <w:pPr>
              <w:jc w:val="left"/>
              <w:rPr>
                <w:rFonts w:hint="default" w:ascii="Times New Roman" w:hAnsi="Times New Roman" w:eastAsia="宋体" w:cs="Times New Roman"/>
                <w:i w:val="0"/>
                <w:iCs w:val="0"/>
                <w:color w:val="000000"/>
                <w:sz w:val="20"/>
                <w:szCs w:val="20"/>
                <w:u w:val="none"/>
              </w:rPr>
            </w:pP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F3874">
            <w:pPr>
              <w:jc w:val="left"/>
              <w:rPr>
                <w:rFonts w:hint="eastAsia" w:ascii="仿宋_GB2312" w:hAnsi="宋体" w:eastAsia="仿宋_GB2312" w:cs="仿宋_GB2312"/>
                <w:i w:val="0"/>
                <w:iCs w:val="0"/>
                <w:color w:val="000000"/>
                <w:sz w:val="20"/>
                <w:szCs w:val="20"/>
                <w:u w:val="none"/>
              </w:rPr>
            </w:pP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BB93A">
            <w:pPr>
              <w:jc w:val="right"/>
              <w:rPr>
                <w:rFonts w:hint="eastAsia" w:ascii="仿宋_GB2312" w:hAnsi="宋体" w:eastAsia="仿宋_GB2312" w:cs="仿宋_GB2312"/>
                <w:i w:val="0"/>
                <w:iCs w:val="0"/>
                <w:color w:val="000000"/>
                <w:sz w:val="20"/>
                <w:szCs w:val="20"/>
                <w:u w:val="none"/>
              </w:rPr>
            </w:pPr>
          </w:p>
        </w:tc>
      </w:tr>
      <w:tr w14:paraId="5FE57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B69BA">
            <w:pPr>
              <w:jc w:val="left"/>
              <w:rPr>
                <w:rFonts w:hint="eastAsia" w:ascii="仿宋_GB2312" w:hAnsi="宋体" w:eastAsia="仿宋_GB2312" w:cs="仿宋_GB2312"/>
                <w:i w:val="0"/>
                <w:iCs w:val="0"/>
                <w:color w:val="000000"/>
                <w:sz w:val="20"/>
                <w:szCs w:val="20"/>
                <w:u w:val="none"/>
              </w:rPr>
            </w:pPr>
          </w:p>
        </w:tc>
        <w:tc>
          <w:tcPr>
            <w:tcW w:w="9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AF97A">
            <w:pPr>
              <w:jc w:val="left"/>
              <w:rPr>
                <w:rFonts w:hint="eastAsia" w:ascii="仿宋_GB2312" w:hAnsi="宋体" w:eastAsia="仿宋_GB2312" w:cs="仿宋_GB2312"/>
                <w:i w:val="0"/>
                <w:iCs w:val="0"/>
                <w:color w:val="000000"/>
                <w:sz w:val="20"/>
                <w:szCs w:val="20"/>
                <w:u w:val="none"/>
              </w:rPr>
            </w:pP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B451A">
            <w:pPr>
              <w:jc w:val="right"/>
              <w:rPr>
                <w:rFonts w:hint="default" w:ascii="Times New Roman" w:hAnsi="Times New Roman" w:eastAsia="宋体" w:cs="Times New Roman"/>
                <w:i w:val="0"/>
                <w:iCs w:val="0"/>
                <w:color w:val="000000"/>
                <w:sz w:val="20"/>
                <w:szCs w:val="20"/>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EEF84">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30299</w:t>
            </w:r>
          </w:p>
        </w:tc>
        <w:tc>
          <w:tcPr>
            <w:tcW w:w="7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5724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 xml:space="preserve">  其他商品和服务支出</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83731">
            <w:pPr>
              <w:keepNext w:val="0"/>
              <w:keepLines w:val="0"/>
              <w:widowControl/>
              <w:suppressLineNumbers w:val="0"/>
              <w:jc w:val="righ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8.20</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7C7EA">
            <w:pPr>
              <w:jc w:val="left"/>
              <w:rPr>
                <w:rFonts w:hint="default" w:ascii="Times New Roman" w:hAnsi="Times New Roman" w:eastAsia="宋体" w:cs="Times New Roman"/>
                <w:i w:val="0"/>
                <w:iCs w:val="0"/>
                <w:color w:val="000000"/>
                <w:sz w:val="20"/>
                <w:szCs w:val="20"/>
                <w:u w:val="none"/>
              </w:rPr>
            </w:pP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196A1">
            <w:pPr>
              <w:jc w:val="left"/>
              <w:rPr>
                <w:rFonts w:hint="eastAsia" w:ascii="仿宋_GB2312" w:hAnsi="宋体" w:eastAsia="仿宋_GB2312" w:cs="仿宋_GB2312"/>
                <w:i w:val="0"/>
                <w:iCs w:val="0"/>
                <w:color w:val="000000"/>
                <w:sz w:val="20"/>
                <w:szCs w:val="20"/>
                <w:u w:val="none"/>
              </w:rPr>
            </w:pP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988FD">
            <w:pPr>
              <w:jc w:val="right"/>
              <w:rPr>
                <w:rFonts w:hint="eastAsia" w:ascii="仿宋_GB2312" w:hAnsi="宋体" w:eastAsia="仿宋_GB2312" w:cs="仿宋_GB2312"/>
                <w:i w:val="0"/>
                <w:iCs w:val="0"/>
                <w:color w:val="000000"/>
                <w:sz w:val="20"/>
                <w:szCs w:val="20"/>
                <w:u w:val="none"/>
              </w:rPr>
            </w:pPr>
          </w:p>
        </w:tc>
      </w:tr>
      <w:tr w14:paraId="4ACB9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5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21B8B">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人员经费合计</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A1A1A">
            <w:pPr>
              <w:keepNext w:val="0"/>
              <w:keepLines w:val="0"/>
              <w:widowControl/>
              <w:suppressLineNumbers w:val="0"/>
              <w:jc w:val="righ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1,024.65</w:t>
            </w:r>
          </w:p>
        </w:tc>
        <w:tc>
          <w:tcPr>
            <w:tcW w:w="290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39DEA">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公用经费合计</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FCD54">
            <w:pPr>
              <w:keepNext w:val="0"/>
              <w:keepLines w:val="0"/>
              <w:widowControl/>
              <w:suppressLineNumbers w:val="0"/>
              <w:jc w:val="righ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172.29</w:t>
            </w:r>
          </w:p>
        </w:tc>
      </w:tr>
      <w:tr w14:paraId="34F88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9"/>
            <w:tcBorders>
              <w:top w:val="nil"/>
              <w:left w:val="nil"/>
              <w:bottom w:val="nil"/>
              <w:right w:val="nil"/>
            </w:tcBorders>
            <w:shd w:val="clear" w:color="auto" w:fill="auto"/>
            <w:noWrap/>
            <w:vAlign w:val="center"/>
          </w:tcPr>
          <w:p w14:paraId="18003DBE">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注：本表反映部门本年度一般公共预算财政拨款基本支出明细情况。</w:t>
            </w:r>
          </w:p>
        </w:tc>
      </w:tr>
    </w:tbl>
    <w:p w14:paraId="591D125F">
      <w:pPr>
        <w:pStyle w:val="3"/>
      </w:pPr>
    </w:p>
    <w:p w14:paraId="025A5AD1"/>
    <w:p w14:paraId="1F566BC0">
      <w:pPr>
        <w:pStyle w:val="2"/>
      </w:pPr>
    </w:p>
    <w:p w14:paraId="66487365">
      <w:pPr>
        <w:pStyle w:val="3"/>
      </w:pPr>
    </w:p>
    <w:p w14:paraId="1FB5A752"/>
    <w:p w14:paraId="2750D7F7">
      <w:pPr>
        <w:pStyle w:val="2"/>
      </w:pPr>
    </w:p>
    <w:p w14:paraId="66BC8830">
      <w:pPr>
        <w:pStyle w:val="3"/>
      </w:pPr>
    </w:p>
    <w:p w14:paraId="073FBFB1"/>
    <w:p w14:paraId="045E35B4">
      <w:pPr>
        <w:pStyle w:val="2"/>
      </w:pPr>
    </w:p>
    <w:p w14:paraId="50B2AA70">
      <w:pPr>
        <w:pStyle w:val="3"/>
      </w:pPr>
    </w:p>
    <w:p w14:paraId="15BC8131">
      <w:pPr>
        <w:widowControl/>
        <w:jc w:val="left"/>
        <w:textAlignment w:val="center"/>
        <w:rPr>
          <w:rFonts w:ascii="Times New Roman" w:hAnsi="Times New Roman" w:eastAsia="仿宋_GB2312" w:cs="Times New Roman"/>
          <w:color w:val="000000"/>
          <w:kern w:val="0"/>
          <w:sz w:val="24"/>
          <w:szCs w:val="24"/>
          <w:lang w:bidi="ar"/>
        </w:rPr>
      </w:pPr>
    </w:p>
    <w:p w14:paraId="21EB23E2">
      <w:pPr>
        <w:pStyle w:val="2"/>
        <w:rPr>
          <w:rFonts w:ascii="Times New Roman" w:hAnsi="Times New Roman" w:eastAsia="仿宋_GB2312" w:cs="Times New Roman"/>
          <w:color w:val="000000"/>
          <w:kern w:val="0"/>
          <w:sz w:val="24"/>
          <w:szCs w:val="24"/>
          <w:lang w:bidi="ar"/>
        </w:rPr>
      </w:pPr>
    </w:p>
    <w:p w14:paraId="5F2DD4C6">
      <w:pPr>
        <w:pStyle w:val="3"/>
        <w:rPr>
          <w:rFonts w:ascii="Times New Roman" w:hAnsi="Times New Roman" w:eastAsia="仿宋_GB2312" w:cs="Times New Roman"/>
          <w:color w:val="000000"/>
          <w:kern w:val="0"/>
          <w:sz w:val="24"/>
          <w:szCs w:val="24"/>
          <w:lang w:bidi="ar"/>
        </w:rPr>
      </w:pPr>
    </w:p>
    <w:p w14:paraId="1350643C">
      <w:pPr>
        <w:rPr>
          <w:rFonts w:ascii="Times New Roman" w:hAnsi="Times New Roman" w:eastAsia="仿宋_GB2312" w:cs="Times New Roman"/>
          <w:color w:val="000000"/>
          <w:kern w:val="0"/>
          <w:sz w:val="24"/>
          <w:szCs w:val="24"/>
          <w:lang w:bidi="ar"/>
        </w:rPr>
      </w:pPr>
    </w:p>
    <w:p w14:paraId="2FDCD6BB">
      <w:pPr>
        <w:pStyle w:val="2"/>
      </w:pPr>
    </w:p>
    <w:p w14:paraId="55213ED9">
      <w:pPr>
        <w:pStyle w:val="2"/>
        <w:rPr>
          <w:rFonts w:ascii="Times New Roman" w:hAnsi="Times New Roman" w:eastAsia="仿宋_GB2312" w:cs="Times New Roman"/>
          <w:color w:val="000000"/>
          <w:kern w:val="0"/>
          <w:sz w:val="24"/>
          <w:szCs w:val="24"/>
          <w:lang w:bidi="ar"/>
        </w:rPr>
      </w:pPr>
    </w:p>
    <w:p w14:paraId="5F257370">
      <w:pPr>
        <w:pStyle w:val="3"/>
        <w:rPr>
          <w:rFonts w:ascii="Times New Roman" w:hAnsi="Times New Roman" w:eastAsia="仿宋_GB2312" w:cs="Times New Roman"/>
          <w:color w:val="000000"/>
          <w:kern w:val="0"/>
          <w:sz w:val="24"/>
          <w:szCs w:val="24"/>
          <w:lang w:bidi="ar"/>
        </w:rPr>
      </w:pPr>
    </w:p>
    <w:p w14:paraId="0A422558">
      <w:pPr>
        <w:rPr>
          <w:rFonts w:ascii="Times New Roman" w:hAnsi="Times New Roman" w:eastAsia="仿宋_GB2312" w:cs="Times New Roman"/>
          <w:color w:val="000000"/>
          <w:kern w:val="0"/>
          <w:sz w:val="24"/>
          <w:szCs w:val="24"/>
          <w:lang w:bidi="ar"/>
        </w:rPr>
      </w:pPr>
    </w:p>
    <w:p w14:paraId="387064F9">
      <w:pPr>
        <w:pStyle w:val="2"/>
        <w:rPr>
          <w:rFonts w:ascii="Times New Roman" w:hAnsi="Times New Roman" w:eastAsia="仿宋_GB2312" w:cs="Times New Roman"/>
          <w:color w:val="000000"/>
          <w:kern w:val="0"/>
          <w:sz w:val="24"/>
          <w:szCs w:val="24"/>
          <w:lang w:bidi="ar"/>
        </w:rPr>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06"/>
        <w:gridCol w:w="1706"/>
        <w:gridCol w:w="1961"/>
        <w:gridCol w:w="1822"/>
        <w:gridCol w:w="1683"/>
        <w:gridCol w:w="1683"/>
        <w:gridCol w:w="1694"/>
        <w:gridCol w:w="1831"/>
      </w:tblGrid>
      <w:tr w14:paraId="6852C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000" w:type="pct"/>
            <w:gridSpan w:val="8"/>
            <w:tcBorders>
              <w:top w:val="nil"/>
              <w:left w:val="nil"/>
              <w:bottom w:val="nil"/>
              <w:right w:val="nil"/>
            </w:tcBorders>
            <w:shd w:val="clear" w:color="auto" w:fill="auto"/>
            <w:noWrap/>
            <w:vAlign w:val="center"/>
          </w:tcPr>
          <w:p w14:paraId="2066B264">
            <w:pPr>
              <w:keepNext w:val="0"/>
              <w:keepLines w:val="0"/>
              <w:widowControl/>
              <w:suppressLineNumbers w:val="0"/>
              <w:jc w:val="center"/>
              <w:textAlignment w:val="center"/>
              <w:rPr>
                <w:rFonts w:ascii="黑体" w:hAnsi="宋体" w:eastAsia="黑体" w:cs="黑体"/>
                <w:i w:val="0"/>
                <w:iCs w:val="0"/>
                <w:color w:val="000000"/>
                <w:sz w:val="36"/>
                <w:szCs w:val="36"/>
                <w:u w:val="none"/>
              </w:rPr>
            </w:pPr>
            <w:r>
              <w:rPr>
                <w:rFonts w:hint="eastAsia" w:ascii="黑体" w:hAnsi="宋体" w:eastAsia="黑体" w:cs="黑体"/>
                <w:i w:val="0"/>
                <w:iCs w:val="0"/>
                <w:color w:val="000000"/>
                <w:kern w:val="0"/>
                <w:sz w:val="36"/>
                <w:szCs w:val="36"/>
                <w:u w:val="none"/>
                <w:lang w:val="en-US" w:eastAsia="zh-CN" w:bidi="ar"/>
              </w:rPr>
              <w:t>政府性基金预算财政拨款收入支出决算表</w:t>
            </w:r>
          </w:p>
        </w:tc>
      </w:tr>
      <w:tr w14:paraId="1E916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813" w:type="pct"/>
            <w:tcBorders>
              <w:top w:val="nil"/>
              <w:left w:val="nil"/>
              <w:bottom w:val="nil"/>
              <w:right w:val="nil"/>
            </w:tcBorders>
            <w:shd w:val="clear" w:color="auto" w:fill="auto"/>
            <w:noWrap/>
            <w:vAlign w:val="center"/>
          </w:tcPr>
          <w:p w14:paraId="41FA6402">
            <w:pPr>
              <w:rPr>
                <w:rFonts w:hint="eastAsia" w:ascii="仿宋_GB2312" w:hAnsi="宋体" w:eastAsia="仿宋_GB2312" w:cs="仿宋_GB2312"/>
                <w:i w:val="0"/>
                <w:iCs w:val="0"/>
                <w:color w:val="000000"/>
                <w:sz w:val="22"/>
                <w:szCs w:val="22"/>
                <w:u w:val="none"/>
              </w:rPr>
            </w:pPr>
          </w:p>
        </w:tc>
        <w:tc>
          <w:tcPr>
            <w:tcW w:w="576" w:type="pct"/>
            <w:tcBorders>
              <w:top w:val="nil"/>
              <w:left w:val="nil"/>
              <w:bottom w:val="nil"/>
              <w:right w:val="nil"/>
            </w:tcBorders>
            <w:shd w:val="clear" w:color="auto" w:fill="auto"/>
            <w:noWrap/>
            <w:vAlign w:val="center"/>
          </w:tcPr>
          <w:p w14:paraId="3A6932F9">
            <w:pPr>
              <w:rPr>
                <w:rFonts w:hint="eastAsia" w:ascii="仿宋_GB2312" w:hAnsi="宋体" w:eastAsia="仿宋_GB2312" w:cs="仿宋_GB2312"/>
                <w:i w:val="0"/>
                <w:iCs w:val="0"/>
                <w:color w:val="000000"/>
                <w:sz w:val="22"/>
                <w:szCs w:val="22"/>
                <w:u w:val="none"/>
              </w:rPr>
            </w:pPr>
          </w:p>
        </w:tc>
        <w:tc>
          <w:tcPr>
            <w:tcW w:w="663" w:type="pct"/>
            <w:tcBorders>
              <w:top w:val="nil"/>
              <w:left w:val="nil"/>
              <w:bottom w:val="nil"/>
              <w:right w:val="nil"/>
            </w:tcBorders>
            <w:shd w:val="clear" w:color="auto" w:fill="auto"/>
            <w:noWrap/>
            <w:vAlign w:val="center"/>
          </w:tcPr>
          <w:p w14:paraId="2B8C474C">
            <w:pPr>
              <w:rPr>
                <w:rFonts w:hint="eastAsia" w:ascii="仿宋_GB2312" w:hAnsi="宋体" w:eastAsia="仿宋_GB2312" w:cs="仿宋_GB2312"/>
                <w:i w:val="0"/>
                <w:iCs w:val="0"/>
                <w:color w:val="000000"/>
                <w:sz w:val="22"/>
                <w:szCs w:val="22"/>
                <w:u w:val="none"/>
              </w:rPr>
            </w:pPr>
          </w:p>
        </w:tc>
        <w:tc>
          <w:tcPr>
            <w:tcW w:w="616" w:type="pct"/>
            <w:tcBorders>
              <w:top w:val="nil"/>
              <w:left w:val="nil"/>
              <w:bottom w:val="nil"/>
              <w:right w:val="nil"/>
            </w:tcBorders>
            <w:shd w:val="clear" w:color="auto" w:fill="auto"/>
            <w:noWrap/>
            <w:vAlign w:val="center"/>
          </w:tcPr>
          <w:p w14:paraId="63508422">
            <w:pPr>
              <w:rPr>
                <w:rFonts w:hint="eastAsia" w:ascii="仿宋_GB2312" w:hAnsi="宋体" w:eastAsia="仿宋_GB2312" w:cs="仿宋_GB2312"/>
                <w:i w:val="0"/>
                <w:iCs w:val="0"/>
                <w:color w:val="000000"/>
                <w:sz w:val="22"/>
                <w:szCs w:val="22"/>
                <w:u w:val="none"/>
              </w:rPr>
            </w:pPr>
          </w:p>
        </w:tc>
        <w:tc>
          <w:tcPr>
            <w:tcW w:w="569" w:type="pct"/>
            <w:tcBorders>
              <w:top w:val="nil"/>
              <w:left w:val="nil"/>
              <w:bottom w:val="nil"/>
              <w:right w:val="nil"/>
            </w:tcBorders>
            <w:shd w:val="clear" w:color="auto" w:fill="auto"/>
            <w:noWrap/>
            <w:vAlign w:val="center"/>
          </w:tcPr>
          <w:p w14:paraId="0C721CB0">
            <w:pPr>
              <w:rPr>
                <w:rFonts w:hint="eastAsia" w:ascii="仿宋_GB2312" w:hAnsi="宋体" w:eastAsia="仿宋_GB2312" w:cs="仿宋_GB2312"/>
                <w:i w:val="0"/>
                <w:iCs w:val="0"/>
                <w:color w:val="000000"/>
                <w:sz w:val="22"/>
                <w:szCs w:val="22"/>
                <w:u w:val="none"/>
              </w:rPr>
            </w:pPr>
          </w:p>
        </w:tc>
        <w:tc>
          <w:tcPr>
            <w:tcW w:w="569" w:type="pct"/>
            <w:tcBorders>
              <w:top w:val="nil"/>
              <w:left w:val="nil"/>
              <w:bottom w:val="nil"/>
              <w:right w:val="nil"/>
            </w:tcBorders>
            <w:shd w:val="clear" w:color="auto" w:fill="auto"/>
            <w:noWrap/>
            <w:vAlign w:val="center"/>
          </w:tcPr>
          <w:p w14:paraId="3266FB84">
            <w:pPr>
              <w:rPr>
                <w:rFonts w:hint="eastAsia" w:ascii="仿宋_GB2312" w:hAnsi="宋体" w:eastAsia="仿宋_GB2312" w:cs="仿宋_GB2312"/>
                <w:i w:val="0"/>
                <w:iCs w:val="0"/>
                <w:color w:val="000000"/>
                <w:sz w:val="22"/>
                <w:szCs w:val="22"/>
                <w:u w:val="none"/>
              </w:rPr>
            </w:pPr>
          </w:p>
        </w:tc>
        <w:tc>
          <w:tcPr>
            <w:tcW w:w="572" w:type="pct"/>
            <w:tcBorders>
              <w:top w:val="nil"/>
              <w:left w:val="nil"/>
              <w:bottom w:val="nil"/>
              <w:right w:val="nil"/>
            </w:tcBorders>
            <w:shd w:val="clear" w:color="auto" w:fill="auto"/>
            <w:noWrap/>
            <w:vAlign w:val="center"/>
          </w:tcPr>
          <w:p w14:paraId="174E054B">
            <w:pPr>
              <w:rPr>
                <w:rFonts w:hint="eastAsia" w:ascii="仿宋_GB2312" w:hAnsi="宋体" w:eastAsia="仿宋_GB2312" w:cs="仿宋_GB2312"/>
                <w:i w:val="0"/>
                <w:iCs w:val="0"/>
                <w:color w:val="000000"/>
                <w:sz w:val="22"/>
                <w:szCs w:val="22"/>
                <w:u w:val="none"/>
              </w:rPr>
            </w:pPr>
          </w:p>
        </w:tc>
        <w:tc>
          <w:tcPr>
            <w:tcW w:w="619" w:type="pct"/>
            <w:tcBorders>
              <w:top w:val="nil"/>
              <w:left w:val="nil"/>
              <w:bottom w:val="nil"/>
              <w:right w:val="nil"/>
            </w:tcBorders>
            <w:shd w:val="clear" w:color="auto" w:fill="auto"/>
            <w:noWrap/>
            <w:vAlign w:val="bottom"/>
          </w:tcPr>
          <w:p w14:paraId="27D27DBC">
            <w:pPr>
              <w:keepNext w:val="0"/>
              <w:keepLines w:val="0"/>
              <w:widowControl/>
              <w:suppressLineNumbers w:val="0"/>
              <w:jc w:val="left"/>
              <w:textAlignment w:val="bottom"/>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公开07表</w:t>
            </w:r>
          </w:p>
        </w:tc>
      </w:tr>
      <w:tr w14:paraId="2BA26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390" w:type="pct"/>
            <w:gridSpan w:val="2"/>
            <w:tcBorders>
              <w:top w:val="nil"/>
              <w:left w:val="nil"/>
              <w:bottom w:val="nil"/>
              <w:right w:val="nil"/>
            </w:tcBorders>
            <w:shd w:val="clear" w:color="auto" w:fill="auto"/>
            <w:noWrap/>
            <w:vAlign w:val="center"/>
          </w:tcPr>
          <w:p w14:paraId="644DEF5E">
            <w:pP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0"/>
                <w:szCs w:val="20"/>
                <w:u w:val="none"/>
                <w:lang w:val="en-US" w:eastAsia="zh-CN" w:bidi="ar"/>
              </w:rPr>
              <w:t>单位：湖南省知识产权保护中心</w:t>
            </w:r>
          </w:p>
        </w:tc>
        <w:tc>
          <w:tcPr>
            <w:tcW w:w="663" w:type="pct"/>
            <w:tcBorders>
              <w:top w:val="nil"/>
              <w:left w:val="nil"/>
              <w:bottom w:val="nil"/>
              <w:right w:val="nil"/>
            </w:tcBorders>
            <w:shd w:val="clear" w:color="auto" w:fill="auto"/>
            <w:noWrap/>
            <w:vAlign w:val="center"/>
          </w:tcPr>
          <w:p w14:paraId="3E366F4F">
            <w:pPr>
              <w:rPr>
                <w:rFonts w:hint="eastAsia" w:ascii="仿宋_GB2312" w:hAnsi="宋体" w:eastAsia="仿宋_GB2312" w:cs="仿宋_GB2312"/>
                <w:i w:val="0"/>
                <w:iCs w:val="0"/>
                <w:color w:val="000000"/>
                <w:sz w:val="22"/>
                <w:szCs w:val="22"/>
                <w:u w:val="none"/>
              </w:rPr>
            </w:pPr>
          </w:p>
        </w:tc>
        <w:tc>
          <w:tcPr>
            <w:tcW w:w="616" w:type="pct"/>
            <w:tcBorders>
              <w:top w:val="nil"/>
              <w:left w:val="nil"/>
              <w:bottom w:val="nil"/>
              <w:right w:val="nil"/>
            </w:tcBorders>
            <w:shd w:val="clear" w:color="auto" w:fill="auto"/>
            <w:noWrap/>
            <w:vAlign w:val="center"/>
          </w:tcPr>
          <w:p w14:paraId="4AEA6043">
            <w:pPr>
              <w:rPr>
                <w:rFonts w:hint="eastAsia" w:ascii="仿宋_GB2312" w:hAnsi="宋体" w:eastAsia="仿宋_GB2312" w:cs="仿宋_GB2312"/>
                <w:i w:val="0"/>
                <w:iCs w:val="0"/>
                <w:color w:val="000000"/>
                <w:sz w:val="22"/>
                <w:szCs w:val="22"/>
                <w:u w:val="none"/>
              </w:rPr>
            </w:pPr>
          </w:p>
        </w:tc>
        <w:tc>
          <w:tcPr>
            <w:tcW w:w="569" w:type="pct"/>
            <w:tcBorders>
              <w:top w:val="nil"/>
              <w:left w:val="nil"/>
              <w:bottom w:val="nil"/>
              <w:right w:val="nil"/>
            </w:tcBorders>
            <w:shd w:val="clear" w:color="auto" w:fill="auto"/>
            <w:noWrap/>
            <w:vAlign w:val="center"/>
          </w:tcPr>
          <w:p w14:paraId="5E11DBBC">
            <w:pPr>
              <w:rPr>
                <w:rFonts w:hint="eastAsia" w:ascii="仿宋_GB2312" w:hAnsi="宋体" w:eastAsia="仿宋_GB2312" w:cs="仿宋_GB2312"/>
                <w:i w:val="0"/>
                <w:iCs w:val="0"/>
                <w:color w:val="000000"/>
                <w:sz w:val="22"/>
                <w:szCs w:val="22"/>
                <w:u w:val="none"/>
              </w:rPr>
            </w:pPr>
          </w:p>
        </w:tc>
        <w:tc>
          <w:tcPr>
            <w:tcW w:w="569" w:type="pct"/>
            <w:tcBorders>
              <w:top w:val="nil"/>
              <w:left w:val="nil"/>
              <w:bottom w:val="nil"/>
              <w:right w:val="nil"/>
            </w:tcBorders>
            <w:shd w:val="clear" w:color="auto" w:fill="auto"/>
            <w:noWrap/>
            <w:vAlign w:val="center"/>
          </w:tcPr>
          <w:p w14:paraId="79689D40">
            <w:pPr>
              <w:rPr>
                <w:rFonts w:hint="eastAsia" w:ascii="仿宋_GB2312" w:hAnsi="宋体" w:eastAsia="仿宋_GB2312" w:cs="仿宋_GB2312"/>
                <w:i w:val="0"/>
                <w:iCs w:val="0"/>
                <w:color w:val="000000"/>
                <w:sz w:val="22"/>
                <w:szCs w:val="22"/>
                <w:u w:val="none"/>
              </w:rPr>
            </w:pPr>
          </w:p>
        </w:tc>
        <w:tc>
          <w:tcPr>
            <w:tcW w:w="572" w:type="pct"/>
            <w:tcBorders>
              <w:top w:val="nil"/>
              <w:left w:val="nil"/>
              <w:bottom w:val="nil"/>
              <w:right w:val="nil"/>
            </w:tcBorders>
            <w:shd w:val="clear" w:color="auto" w:fill="auto"/>
            <w:noWrap/>
            <w:vAlign w:val="center"/>
          </w:tcPr>
          <w:p w14:paraId="189E6EDA">
            <w:pPr>
              <w:rPr>
                <w:rFonts w:hint="eastAsia" w:ascii="仿宋_GB2312" w:hAnsi="宋体" w:eastAsia="仿宋_GB2312" w:cs="仿宋_GB2312"/>
                <w:i w:val="0"/>
                <w:iCs w:val="0"/>
                <w:color w:val="000000"/>
                <w:sz w:val="22"/>
                <w:szCs w:val="22"/>
                <w:u w:val="none"/>
              </w:rPr>
            </w:pPr>
          </w:p>
        </w:tc>
        <w:tc>
          <w:tcPr>
            <w:tcW w:w="619" w:type="pct"/>
            <w:tcBorders>
              <w:top w:val="nil"/>
              <w:left w:val="nil"/>
              <w:bottom w:val="nil"/>
              <w:right w:val="nil"/>
            </w:tcBorders>
            <w:shd w:val="clear" w:color="auto" w:fill="auto"/>
            <w:noWrap/>
            <w:vAlign w:val="center"/>
          </w:tcPr>
          <w:p w14:paraId="7615DBB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单位：万元</w:t>
            </w:r>
          </w:p>
        </w:tc>
      </w:tr>
      <w:tr w14:paraId="7AFCF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D039E">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项    目</w:t>
            </w:r>
          </w:p>
        </w:tc>
        <w:tc>
          <w:tcPr>
            <w:tcW w:w="6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07559E">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年初结转和结余</w:t>
            </w:r>
          </w:p>
        </w:tc>
        <w:tc>
          <w:tcPr>
            <w:tcW w:w="6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33C122">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本年收入</w:t>
            </w:r>
          </w:p>
        </w:tc>
        <w:tc>
          <w:tcPr>
            <w:tcW w:w="171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329929">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本年支出</w:t>
            </w:r>
          </w:p>
        </w:tc>
        <w:tc>
          <w:tcPr>
            <w:tcW w:w="61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626591">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年末结转和结余</w:t>
            </w:r>
          </w:p>
        </w:tc>
      </w:tr>
      <w:tr w14:paraId="088CB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8D8E61">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科目代码</w:t>
            </w:r>
          </w:p>
        </w:tc>
        <w:tc>
          <w:tcPr>
            <w:tcW w:w="57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357B6">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科目名称</w:t>
            </w:r>
          </w:p>
        </w:tc>
        <w:tc>
          <w:tcPr>
            <w:tcW w:w="6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79CC1B">
            <w:pPr>
              <w:jc w:val="center"/>
              <w:rPr>
                <w:rFonts w:hint="eastAsia" w:ascii="仿宋_GB2312" w:hAnsi="宋体" w:eastAsia="仿宋_GB2312" w:cs="仿宋_GB2312"/>
                <w:b/>
                <w:bCs/>
                <w:i w:val="0"/>
                <w:iCs w:val="0"/>
                <w:color w:val="000000"/>
                <w:sz w:val="22"/>
                <w:szCs w:val="22"/>
                <w:u w:val="none"/>
              </w:rPr>
            </w:pPr>
          </w:p>
        </w:tc>
        <w:tc>
          <w:tcPr>
            <w:tcW w:w="6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C92AF">
            <w:pPr>
              <w:jc w:val="center"/>
              <w:rPr>
                <w:rFonts w:hint="eastAsia" w:ascii="仿宋_GB2312" w:hAnsi="宋体" w:eastAsia="仿宋_GB2312" w:cs="仿宋_GB2312"/>
                <w:b/>
                <w:bCs/>
                <w:i w:val="0"/>
                <w:iCs w:val="0"/>
                <w:color w:val="000000"/>
                <w:sz w:val="22"/>
                <w:szCs w:val="22"/>
                <w:u w:val="none"/>
              </w:rPr>
            </w:pPr>
          </w:p>
        </w:tc>
        <w:tc>
          <w:tcPr>
            <w:tcW w:w="56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13E1CE">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小计</w:t>
            </w:r>
          </w:p>
        </w:tc>
        <w:tc>
          <w:tcPr>
            <w:tcW w:w="56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9852DE">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基本支出</w:t>
            </w:r>
          </w:p>
        </w:tc>
        <w:tc>
          <w:tcPr>
            <w:tcW w:w="5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282C22">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项目支出</w:t>
            </w:r>
          </w:p>
        </w:tc>
        <w:tc>
          <w:tcPr>
            <w:tcW w:w="6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BE58D4">
            <w:pPr>
              <w:jc w:val="center"/>
              <w:rPr>
                <w:rFonts w:hint="eastAsia" w:ascii="仿宋_GB2312" w:hAnsi="宋体" w:eastAsia="仿宋_GB2312" w:cs="仿宋_GB2312"/>
                <w:b/>
                <w:bCs/>
                <w:i w:val="0"/>
                <w:iCs w:val="0"/>
                <w:color w:val="000000"/>
                <w:sz w:val="22"/>
                <w:szCs w:val="22"/>
                <w:u w:val="none"/>
              </w:rPr>
            </w:pPr>
          </w:p>
        </w:tc>
      </w:tr>
      <w:tr w14:paraId="44CC5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B550E3">
            <w:pPr>
              <w:jc w:val="center"/>
              <w:rPr>
                <w:rFonts w:hint="eastAsia" w:ascii="仿宋_GB2312" w:hAnsi="宋体" w:eastAsia="仿宋_GB2312" w:cs="仿宋_GB2312"/>
                <w:b/>
                <w:bCs/>
                <w:i w:val="0"/>
                <w:iCs w:val="0"/>
                <w:color w:val="000000"/>
                <w:sz w:val="22"/>
                <w:szCs w:val="22"/>
                <w:u w:val="none"/>
              </w:rPr>
            </w:pPr>
          </w:p>
        </w:tc>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FB6E0">
            <w:pPr>
              <w:jc w:val="center"/>
              <w:rPr>
                <w:rFonts w:hint="eastAsia" w:ascii="仿宋_GB2312" w:hAnsi="宋体" w:eastAsia="仿宋_GB2312" w:cs="仿宋_GB2312"/>
                <w:b/>
                <w:bCs/>
                <w:i w:val="0"/>
                <w:iCs w:val="0"/>
                <w:color w:val="000000"/>
                <w:sz w:val="22"/>
                <w:szCs w:val="22"/>
                <w:u w:val="none"/>
              </w:rPr>
            </w:pPr>
          </w:p>
        </w:tc>
        <w:tc>
          <w:tcPr>
            <w:tcW w:w="6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34CCD9">
            <w:pPr>
              <w:jc w:val="center"/>
              <w:rPr>
                <w:rFonts w:hint="eastAsia" w:ascii="仿宋_GB2312" w:hAnsi="宋体" w:eastAsia="仿宋_GB2312" w:cs="仿宋_GB2312"/>
                <w:b/>
                <w:bCs/>
                <w:i w:val="0"/>
                <w:iCs w:val="0"/>
                <w:color w:val="000000"/>
                <w:sz w:val="22"/>
                <w:szCs w:val="22"/>
                <w:u w:val="none"/>
              </w:rPr>
            </w:pPr>
          </w:p>
        </w:tc>
        <w:tc>
          <w:tcPr>
            <w:tcW w:w="6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9821ED">
            <w:pPr>
              <w:jc w:val="center"/>
              <w:rPr>
                <w:rFonts w:hint="eastAsia" w:ascii="仿宋_GB2312" w:hAnsi="宋体" w:eastAsia="仿宋_GB2312" w:cs="仿宋_GB2312"/>
                <w:b/>
                <w:bCs/>
                <w:i w:val="0"/>
                <w:iCs w:val="0"/>
                <w:color w:val="000000"/>
                <w:sz w:val="22"/>
                <w:szCs w:val="22"/>
                <w:u w:val="none"/>
              </w:rPr>
            </w:pPr>
          </w:p>
        </w:tc>
        <w:tc>
          <w:tcPr>
            <w:tcW w:w="56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2C169C">
            <w:pPr>
              <w:jc w:val="center"/>
              <w:rPr>
                <w:rFonts w:hint="eastAsia" w:ascii="仿宋_GB2312" w:hAnsi="宋体" w:eastAsia="仿宋_GB2312" w:cs="仿宋_GB2312"/>
                <w:b/>
                <w:bCs/>
                <w:i w:val="0"/>
                <w:iCs w:val="0"/>
                <w:color w:val="000000"/>
                <w:sz w:val="22"/>
                <w:szCs w:val="22"/>
                <w:u w:val="none"/>
              </w:rPr>
            </w:pPr>
          </w:p>
        </w:tc>
        <w:tc>
          <w:tcPr>
            <w:tcW w:w="56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0C5A5D">
            <w:pPr>
              <w:jc w:val="center"/>
              <w:rPr>
                <w:rFonts w:hint="eastAsia" w:ascii="仿宋_GB2312" w:hAnsi="宋体" w:eastAsia="仿宋_GB2312" w:cs="仿宋_GB2312"/>
                <w:b/>
                <w:bCs/>
                <w:i w:val="0"/>
                <w:iCs w:val="0"/>
                <w:color w:val="000000"/>
                <w:sz w:val="22"/>
                <w:szCs w:val="22"/>
                <w:u w:val="none"/>
              </w:rPr>
            </w:pPr>
          </w:p>
        </w:tc>
        <w:tc>
          <w:tcPr>
            <w:tcW w:w="5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B04361">
            <w:pPr>
              <w:jc w:val="center"/>
              <w:rPr>
                <w:rFonts w:hint="eastAsia" w:ascii="仿宋_GB2312" w:hAnsi="宋体" w:eastAsia="仿宋_GB2312" w:cs="仿宋_GB2312"/>
                <w:b/>
                <w:bCs/>
                <w:i w:val="0"/>
                <w:iCs w:val="0"/>
                <w:color w:val="000000"/>
                <w:sz w:val="22"/>
                <w:szCs w:val="22"/>
                <w:u w:val="none"/>
              </w:rPr>
            </w:pPr>
          </w:p>
        </w:tc>
        <w:tc>
          <w:tcPr>
            <w:tcW w:w="6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B10BC5">
            <w:pPr>
              <w:jc w:val="center"/>
              <w:rPr>
                <w:rFonts w:hint="eastAsia" w:ascii="仿宋_GB2312" w:hAnsi="宋体" w:eastAsia="仿宋_GB2312" w:cs="仿宋_GB2312"/>
                <w:b/>
                <w:bCs/>
                <w:i w:val="0"/>
                <w:iCs w:val="0"/>
                <w:color w:val="000000"/>
                <w:sz w:val="22"/>
                <w:szCs w:val="22"/>
                <w:u w:val="none"/>
              </w:rPr>
            </w:pPr>
          </w:p>
        </w:tc>
      </w:tr>
      <w:tr w14:paraId="74BD5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A31799">
            <w:pPr>
              <w:jc w:val="center"/>
              <w:rPr>
                <w:rFonts w:hint="eastAsia" w:ascii="仿宋_GB2312" w:hAnsi="宋体" w:eastAsia="仿宋_GB2312" w:cs="仿宋_GB2312"/>
                <w:b/>
                <w:bCs/>
                <w:i w:val="0"/>
                <w:iCs w:val="0"/>
                <w:color w:val="000000"/>
                <w:sz w:val="22"/>
                <w:szCs w:val="22"/>
                <w:u w:val="none"/>
              </w:rPr>
            </w:pPr>
          </w:p>
        </w:tc>
        <w:tc>
          <w:tcPr>
            <w:tcW w:w="57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7BBD5">
            <w:pPr>
              <w:jc w:val="center"/>
              <w:rPr>
                <w:rFonts w:hint="eastAsia" w:ascii="仿宋_GB2312" w:hAnsi="宋体" w:eastAsia="仿宋_GB2312" w:cs="仿宋_GB2312"/>
                <w:b/>
                <w:bCs/>
                <w:i w:val="0"/>
                <w:iCs w:val="0"/>
                <w:color w:val="000000"/>
                <w:sz w:val="22"/>
                <w:szCs w:val="22"/>
                <w:u w:val="none"/>
              </w:rPr>
            </w:pPr>
          </w:p>
        </w:tc>
        <w:tc>
          <w:tcPr>
            <w:tcW w:w="6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223447">
            <w:pPr>
              <w:jc w:val="center"/>
              <w:rPr>
                <w:rFonts w:hint="eastAsia" w:ascii="仿宋_GB2312" w:hAnsi="宋体" w:eastAsia="仿宋_GB2312" w:cs="仿宋_GB2312"/>
                <w:b/>
                <w:bCs/>
                <w:i w:val="0"/>
                <w:iCs w:val="0"/>
                <w:color w:val="000000"/>
                <w:sz w:val="22"/>
                <w:szCs w:val="22"/>
                <w:u w:val="none"/>
              </w:rPr>
            </w:pPr>
          </w:p>
        </w:tc>
        <w:tc>
          <w:tcPr>
            <w:tcW w:w="6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D2E783">
            <w:pPr>
              <w:jc w:val="center"/>
              <w:rPr>
                <w:rFonts w:hint="eastAsia" w:ascii="仿宋_GB2312" w:hAnsi="宋体" w:eastAsia="仿宋_GB2312" w:cs="仿宋_GB2312"/>
                <w:b/>
                <w:bCs/>
                <w:i w:val="0"/>
                <w:iCs w:val="0"/>
                <w:color w:val="000000"/>
                <w:sz w:val="22"/>
                <w:szCs w:val="22"/>
                <w:u w:val="none"/>
              </w:rPr>
            </w:pPr>
          </w:p>
        </w:tc>
        <w:tc>
          <w:tcPr>
            <w:tcW w:w="56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F29625">
            <w:pPr>
              <w:jc w:val="center"/>
              <w:rPr>
                <w:rFonts w:hint="eastAsia" w:ascii="仿宋_GB2312" w:hAnsi="宋体" w:eastAsia="仿宋_GB2312" w:cs="仿宋_GB2312"/>
                <w:b/>
                <w:bCs/>
                <w:i w:val="0"/>
                <w:iCs w:val="0"/>
                <w:color w:val="000000"/>
                <w:sz w:val="22"/>
                <w:szCs w:val="22"/>
                <w:u w:val="none"/>
              </w:rPr>
            </w:pPr>
          </w:p>
        </w:tc>
        <w:tc>
          <w:tcPr>
            <w:tcW w:w="56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48A280">
            <w:pPr>
              <w:jc w:val="center"/>
              <w:rPr>
                <w:rFonts w:hint="eastAsia" w:ascii="仿宋_GB2312" w:hAnsi="宋体" w:eastAsia="仿宋_GB2312" w:cs="仿宋_GB2312"/>
                <w:b/>
                <w:bCs/>
                <w:i w:val="0"/>
                <w:iCs w:val="0"/>
                <w:color w:val="000000"/>
                <w:sz w:val="22"/>
                <w:szCs w:val="22"/>
                <w:u w:val="none"/>
              </w:rPr>
            </w:pPr>
          </w:p>
        </w:tc>
        <w:tc>
          <w:tcPr>
            <w:tcW w:w="5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274AFF">
            <w:pPr>
              <w:jc w:val="center"/>
              <w:rPr>
                <w:rFonts w:hint="eastAsia" w:ascii="仿宋_GB2312" w:hAnsi="宋体" w:eastAsia="仿宋_GB2312" w:cs="仿宋_GB2312"/>
                <w:b/>
                <w:bCs/>
                <w:i w:val="0"/>
                <w:iCs w:val="0"/>
                <w:color w:val="000000"/>
                <w:sz w:val="22"/>
                <w:szCs w:val="22"/>
                <w:u w:val="none"/>
              </w:rPr>
            </w:pPr>
          </w:p>
        </w:tc>
        <w:tc>
          <w:tcPr>
            <w:tcW w:w="6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2B551A">
            <w:pPr>
              <w:jc w:val="center"/>
              <w:rPr>
                <w:rFonts w:hint="eastAsia" w:ascii="仿宋_GB2312" w:hAnsi="宋体" w:eastAsia="仿宋_GB2312" w:cs="仿宋_GB2312"/>
                <w:b/>
                <w:bCs/>
                <w:i w:val="0"/>
                <w:iCs w:val="0"/>
                <w:color w:val="000000"/>
                <w:sz w:val="22"/>
                <w:szCs w:val="22"/>
                <w:u w:val="none"/>
              </w:rPr>
            </w:pPr>
          </w:p>
        </w:tc>
      </w:tr>
      <w:tr w14:paraId="544A3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1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B3209">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栏次</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C8FA7">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1</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0F5CB">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2</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B3709">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3</w:t>
            </w: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69D24">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4</w:t>
            </w: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CCD9D">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5</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E904A">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6</w:t>
            </w:r>
          </w:p>
        </w:tc>
      </w:tr>
      <w:tr w14:paraId="08DDD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1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D6760">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合计</w:t>
            </w: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13BDF">
            <w:pPr>
              <w:jc w:val="right"/>
              <w:rPr>
                <w:rFonts w:hint="eastAsia" w:ascii="仿宋_GB2312" w:hAnsi="宋体" w:eastAsia="仿宋_GB2312" w:cs="仿宋_GB2312"/>
                <w:b/>
                <w:bCs/>
                <w:i w:val="0"/>
                <w:iCs w:val="0"/>
                <w:color w:val="000000"/>
                <w:sz w:val="22"/>
                <w:szCs w:val="22"/>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FD450">
            <w:pPr>
              <w:jc w:val="right"/>
              <w:rPr>
                <w:rFonts w:hint="eastAsia" w:ascii="仿宋_GB2312" w:hAnsi="宋体" w:eastAsia="仿宋_GB2312" w:cs="仿宋_GB2312"/>
                <w:b/>
                <w:bCs/>
                <w:i w:val="0"/>
                <w:iCs w:val="0"/>
                <w:color w:val="000000"/>
                <w:sz w:val="22"/>
                <w:szCs w:val="22"/>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E7E0C">
            <w:pPr>
              <w:jc w:val="right"/>
              <w:rPr>
                <w:rFonts w:hint="eastAsia" w:ascii="仿宋_GB2312" w:hAnsi="宋体" w:eastAsia="仿宋_GB2312" w:cs="仿宋_GB2312"/>
                <w:b/>
                <w:bCs/>
                <w:i w:val="0"/>
                <w:iCs w:val="0"/>
                <w:color w:val="000000"/>
                <w:sz w:val="22"/>
                <w:szCs w:val="22"/>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6E1D4">
            <w:pPr>
              <w:jc w:val="right"/>
              <w:rPr>
                <w:rFonts w:hint="eastAsia" w:ascii="仿宋_GB2312" w:hAnsi="宋体" w:eastAsia="仿宋_GB2312" w:cs="仿宋_GB2312"/>
                <w:b/>
                <w:bCs/>
                <w:i w:val="0"/>
                <w:iCs w:val="0"/>
                <w:color w:val="000000"/>
                <w:sz w:val="22"/>
                <w:szCs w:val="22"/>
                <w:u w:val="none"/>
              </w:rPr>
            </w:pP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93B46">
            <w:pPr>
              <w:jc w:val="right"/>
              <w:rPr>
                <w:rFonts w:hint="eastAsia" w:ascii="仿宋_GB2312" w:hAnsi="宋体" w:eastAsia="仿宋_GB2312" w:cs="仿宋_GB2312"/>
                <w:b/>
                <w:bCs/>
                <w:i w:val="0"/>
                <w:iCs w:val="0"/>
                <w:color w:val="000000"/>
                <w:sz w:val="22"/>
                <w:szCs w:val="22"/>
                <w:u w:val="none"/>
              </w:rPr>
            </w:pP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B1A11">
            <w:pPr>
              <w:jc w:val="right"/>
              <w:rPr>
                <w:rFonts w:hint="eastAsia" w:ascii="仿宋_GB2312" w:hAnsi="宋体" w:eastAsia="仿宋_GB2312" w:cs="仿宋_GB2312"/>
                <w:b/>
                <w:bCs/>
                <w:i w:val="0"/>
                <w:iCs w:val="0"/>
                <w:color w:val="000000"/>
                <w:sz w:val="22"/>
                <w:szCs w:val="22"/>
                <w:u w:val="none"/>
              </w:rPr>
            </w:pPr>
          </w:p>
        </w:tc>
      </w:tr>
      <w:tr w14:paraId="661B6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2021C">
            <w:pPr>
              <w:jc w:val="center"/>
              <w:rPr>
                <w:rFonts w:hint="eastAsia" w:ascii="仿宋_GB2312" w:hAnsi="宋体" w:eastAsia="仿宋_GB2312" w:cs="仿宋_GB2312"/>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1B146">
            <w:pPr>
              <w:jc w:val="center"/>
              <w:rPr>
                <w:rFonts w:hint="eastAsia" w:ascii="仿宋_GB2312" w:hAnsi="宋体" w:eastAsia="仿宋_GB2312" w:cs="仿宋_GB2312"/>
                <w:i w:val="0"/>
                <w:iCs w:val="0"/>
                <w:color w:val="000000"/>
                <w:sz w:val="22"/>
                <w:szCs w:val="22"/>
                <w:u w:val="none"/>
              </w:rPr>
            </w:pP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D13B9">
            <w:pPr>
              <w:jc w:val="right"/>
              <w:rPr>
                <w:rFonts w:hint="eastAsia" w:ascii="仿宋_GB2312" w:hAnsi="宋体" w:eastAsia="仿宋_GB2312" w:cs="仿宋_GB2312"/>
                <w:b/>
                <w:bCs/>
                <w:i w:val="0"/>
                <w:iCs w:val="0"/>
                <w:color w:val="000000"/>
                <w:sz w:val="22"/>
                <w:szCs w:val="22"/>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8845C">
            <w:pPr>
              <w:jc w:val="right"/>
              <w:rPr>
                <w:rFonts w:hint="eastAsia" w:ascii="仿宋_GB2312" w:hAnsi="宋体" w:eastAsia="仿宋_GB2312" w:cs="仿宋_GB2312"/>
                <w:b/>
                <w:bCs/>
                <w:i w:val="0"/>
                <w:iCs w:val="0"/>
                <w:color w:val="000000"/>
                <w:sz w:val="22"/>
                <w:szCs w:val="22"/>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2755E">
            <w:pPr>
              <w:jc w:val="right"/>
              <w:rPr>
                <w:rFonts w:hint="eastAsia" w:ascii="仿宋_GB2312" w:hAnsi="宋体" w:eastAsia="仿宋_GB2312" w:cs="仿宋_GB2312"/>
                <w:b/>
                <w:bCs/>
                <w:i w:val="0"/>
                <w:iCs w:val="0"/>
                <w:color w:val="000000"/>
                <w:sz w:val="22"/>
                <w:szCs w:val="22"/>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21735">
            <w:pPr>
              <w:jc w:val="right"/>
              <w:rPr>
                <w:rFonts w:hint="eastAsia" w:ascii="仿宋_GB2312" w:hAnsi="宋体" w:eastAsia="仿宋_GB2312" w:cs="仿宋_GB2312"/>
                <w:b/>
                <w:bCs/>
                <w:i w:val="0"/>
                <w:iCs w:val="0"/>
                <w:color w:val="000000"/>
                <w:sz w:val="22"/>
                <w:szCs w:val="22"/>
                <w:u w:val="none"/>
              </w:rPr>
            </w:pP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90D4F">
            <w:pPr>
              <w:jc w:val="right"/>
              <w:rPr>
                <w:rFonts w:hint="eastAsia" w:ascii="仿宋_GB2312" w:hAnsi="宋体" w:eastAsia="仿宋_GB2312" w:cs="仿宋_GB2312"/>
                <w:b/>
                <w:bCs/>
                <w:i w:val="0"/>
                <w:iCs w:val="0"/>
                <w:color w:val="000000"/>
                <w:sz w:val="22"/>
                <w:szCs w:val="22"/>
                <w:u w:val="none"/>
              </w:rPr>
            </w:pP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58D00">
            <w:pPr>
              <w:jc w:val="right"/>
              <w:rPr>
                <w:rFonts w:hint="eastAsia" w:ascii="仿宋_GB2312" w:hAnsi="宋体" w:eastAsia="仿宋_GB2312" w:cs="仿宋_GB2312"/>
                <w:b/>
                <w:bCs/>
                <w:i w:val="0"/>
                <w:iCs w:val="0"/>
                <w:color w:val="000000"/>
                <w:sz w:val="22"/>
                <w:szCs w:val="22"/>
                <w:u w:val="none"/>
              </w:rPr>
            </w:pPr>
          </w:p>
        </w:tc>
      </w:tr>
      <w:tr w14:paraId="15604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2B4EC">
            <w:pPr>
              <w:jc w:val="center"/>
              <w:rPr>
                <w:rFonts w:hint="eastAsia" w:ascii="仿宋_GB2312" w:hAnsi="宋体" w:eastAsia="仿宋_GB2312" w:cs="仿宋_GB2312"/>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56CCB">
            <w:pPr>
              <w:jc w:val="center"/>
              <w:rPr>
                <w:rFonts w:hint="eastAsia" w:ascii="仿宋_GB2312" w:hAnsi="宋体" w:eastAsia="仿宋_GB2312" w:cs="仿宋_GB2312"/>
                <w:i w:val="0"/>
                <w:iCs w:val="0"/>
                <w:color w:val="000000"/>
                <w:sz w:val="22"/>
                <w:szCs w:val="22"/>
                <w:u w:val="none"/>
              </w:rPr>
            </w:pP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908AB">
            <w:pPr>
              <w:jc w:val="right"/>
              <w:rPr>
                <w:rFonts w:hint="eastAsia" w:ascii="仿宋_GB2312" w:hAnsi="宋体" w:eastAsia="仿宋_GB2312" w:cs="仿宋_GB2312"/>
                <w:b/>
                <w:bCs/>
                <w:i w:val="0"/>
                <w:iCs w:val="0"/>
                <w:color w:val="000000"/>
                <w:sz w:val="22"/>
                <w:szCs w:val="22"/>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F66BE">
            <w:pPr>
              <w:jc w:val="right"/>
              <w:rPr>
                <w:rFonts w:hint="eastAsia" w:ascii="仿宋_GB2312" w:hAnsi="宋体" w:eastAsia="仿宋_GB2312" w:cs="仿宋_GB2312"/>
                <w:b/>
                <w:bCs/>
                <w:i w:val="0"/>
                <w:iCs w:val="0"/>
                <w:color w:val="000000"/>
                <w:sz w:val="22"/>
                <w:szCs w:val="22"/>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EB89A">
            <w:pPr>
              <w:jc w:val="right"/>
              <w:rPr>
                <w:rFonts w:hint="eastAsia" w:ascii="仿宋_GB2312" w:hAnsi="宋体" w:eastAsia="仿宋_GB2312" w:cs="仿宋_GB2312"/>
                <w:b/>
                <w:bCs/>
                <w:i w:val="0"/>
                <w:iCs w:val="0"/>
                <w:color w:val="000000"/>
                <w:sz w:val="22"/>
                <w:szCs w:val="22"/>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92CF5">
            <w:pPr>
              <w:jc w:val="right"/>
              <w:rPr>
                <w:rFonts w:hint="eastAsia" w:ascii="仿宋_GB2312" w:hAnsi="宋体" w:eastAsia="仿宋_GB2312" w:cs="仿宋_GB2312"/>
                <w:b/>
                <w:bCs/>
                <w:i w:val="0"/>
                <w:iCs w:val="0"/>
                <w:color w:val="000000"/>
                <w:sz w:val="22"/>
                <w:szCs w:val="22"/>
                <w:u w:val="none"/>
              </w:rPr>
            </w:pP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5FEEB">
            <w:pPr>
              <w:jc w:val="right"/>
              <w:rPr>
                <w:rFonts w:hint="eastAsia" w:ascii="仿宋_GB2312" w:hAnsi="宋体" w:eastAsia="仿宋_GB2312" w:cs="仿宋_GB2312"/>
                <w:b/>
                <w:bCs/>
                <w:i w:val="0"/>
                <w:iCs w:val="0"/>
                <w:color w:val="000000"/>
                <w:sz w:val="22"/>
                <w:szCs w:val="22"/>
                <w:u w:val="none"/>
              </w:rPr>
            </w:pP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05393">
            <w:pPr>
              <w:jc w:val="right"/>
              <w:rPr>
                <w:rFonts w:hint="eastAsia" w:ascii="仿宋_GB2312" w:hAnsi="宋体" w:eastAsia="仿宋_GB2312" w:cs="仿宋_GB2312"/>
                <w:b/>
                <w:bCs/>
                <w:i w:val="0"/>
                <w:iCs w:val="0"/>
                <w:color w:val="000000"/>
                <w:sz w:val="22"/>
                <w:szCs w:val="22"/>
                <w:u w:val="none"/>
              </w:rPr>
            </w:pPr>
          </w:p>
        </w:tc>
      </w:tr>
      <w:tr w14:paraId="16BC5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E7892">
            <w:pPr>
              <w:jc w:val="center"/>
              <w:rPr>
                <w:rFonts w:hint="eastAsia" w:ascii="仿宋_GB2312" w:hAnsi="宋体" w:eastAsia="仿宋_GB2312" w:cs="仿宋_GB2312"/>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78EBC">
            <w:pPr>
              <w:jc w:val="center"/>
              <w:rPr>
                <w:rFonts w:hint="eastAsia" w:ascii="仿宋_GB2312" w:hAnsi="宋体" w:eastAsia="仿宋_GB2312" w:cs="仿宋_GB2312"/>
                <w:i w:val="0"/>
                <w:iCs w:val="0"/>
                <w:color w:val="000000"/>
                <w:sz w:val="22"/>
                <w:szCs w:val="22"/>
                <w:u w:val="none"/>
              </w:rPr>
            </w:pP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FF012">
            <w:pPr>
              <w:jc w:val="right"/>
              <w:rPr>
                <w:rFonts w:hint="eastAsia" w:ascii="仿宋_GB2312" w:hAnsi="宋体" w:eastAsia="仿宋_GB2312" w:cs="仿宋_GB2312"/>
                <w:b/>
                <w:bCs/>
                <w:i w:val="0"/>
                <w:iCs w:val="0"/>
                <w:color w:val="000000"/>
                <w:sz w:val="22"/>
                <w:szCs w:val="22"/>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545C4">
            <w:pPr>
              <w:jc w:val="right"/>
              <w:rPr>
                <w:rFonts w:hint="eastAsia" w:ascii="仿宋_GB2312" w:hAnsi="宋体" w:eastAsia="仿宋_GB2312" w:cs="仿宋_GB2312"/>
                <w:b/>
                <w:bCs/>
                <w:i w:val="0"/>
                <w:iCs w:val="0"/>
                <w:color w:val="000000"/>
                <w:sz w:val="22"/>
                <w:szCs w:val="22"/>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CC2F0">
            <w:pPr>
              <w:jc w:val="right"/>
              <w:rPr>
                <w:rFonts w:hint="eastAsia" w:ascii="仿宋_GB2312" w:hAnsi="宋体" w:eastAsia="仿宋_GB2312" w:cs="仿宋_GB2312"/>
                <w:b/>
                <w:bCs/>
                <w:i w:val="0"/>
                <w:iCs w:val="0"/>
                <w:color w:val="000000"/>
                <w:sz w:val="22"/>
                <w:szCs w:val="22"/>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0D509">
            <w:pPr>
              <w:jc w:val="right"/>
              <w:rPr>
                <w:rFonts w:hint="eastAsia" w:ascii="仿宋_GB2312" w:hAnsi="宋体" w:eastAsia="仿宋_GB2312" w:cs="仿宋_GB2312"/>
                <w:b/>
                <w:bCs/>
                <w:i w:val="0"/>
                <w:iCs w:val="0"/>
                <w:color w:val="000000"/>
                <w:sz w:val="22"/>
                <w:szCs w:val="22"/>
                <w:u w:val="none"/>
              </w:rPr>
            </w:pP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EC387">
            <w:pPr>
              <w:jc w:val="right"/>
              <w:rPr>
                <w:rFonts w:hint="eastAsia" w:ascii="仿宋_GB2312" w:hAnsi="宋体" w:eastAsia="仿宋_GB2312" w:cs="仿宋_GB2312"/>
                <w:b/>
                <w:bCs/>
                <w:i w:val="0"/>
                <w:iCs w:val="0"/>
                <w:color w:val="000000"/>
                <w:sz w:val="22"/>
                <w:szCs w:val="22"/>
                <w:u w:val="none"/>
              </w:rPr>
            </w:pP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12965">
            <w:pPr>
              <w:jc w:val="right"/>
              <w:rPr>
                <w:rFonts w:hint="eastAsia" w:ascii="仿宋_GB2312" w:hAnsi="宋体" w:eastAsia="仿宋_GB2312" w:cs="仿宋_GB2312"/>
                <w:b/>
                <w:bCs/>
                <w:i w:val="0"/>
                <w:iCs w:val="0"/>
                <w:color w:val="000000"/>
                <w:sz w:val="22"/>
                <w:szCs w:val="22"/>
                <w:u w:val="none"/>
              </w:rPr>
            </w:pPr>
          </w:p>
        </w:tc>
      </w:tr>
      <w:tr w14:paraId="2DF54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634B7">
            <w:pPr>
              <w:jc w:val="center"/>
              <w:rPr>
                <w:rFonts w:hint="eastAsia" w:ascii="仿宋_GB2312" w:hAnsi="宋体" w:eastAsia="仿宋_GB2312" w:cs="仿宋_GB2312"/>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C43D4">
            <w:pPr>
              <w:jc w:val="center"/>
              <w:rPr>
                <w:rFonts w:hint="eastAsia" w:ascii="仿宋_GB2312" w:hAnsi="宋体" w:eastAsia="仿宋_GB2312" w:cs="仿宋_GB2312"/>
                <w:i w:val="0"/>
                <w:iCs w:val="0"/>
                <w:color w:val="000000"/>
                <w:sz w:val="22"/>
                <w:szCs w:val="22"/>
                <w:u w:val="none"/>
              </w:rPr>
            </w:pP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01EA9">
            <w:pPr>
              <w:jc w:val="right"/>
              <w:rPr>
                <w:rFonts w:hint="eastAsia" w:ascii="仿宋_GB2312" w:hAnsi="宋体" w:eastAsia="仿宋_GB2312" w:cs="仿宋_GB2312"/>
                <w:b/>
                <w:bCs/>
                <w:i w:val="0"/>
                <w:iCs w:val="0"/>
                <w:color w:val="000000"/>
                <w:sz w:val="22"/>
                <w:szCs w:val="22"/>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69CD9">
            <w:pPr>
              <w:jc w:val="right"/>
              <w:rPr>
                <w:rFonts w:hint="eastAsia" w:ascii="仿宋_GB2312" w:hAnsi="宋体" w:eastAsia="仿宋_GB2312" w:cs="仿宋_GB2312"/>
                <w:b/>
                <w:bCs/>
                <w:i w:val="0"/>
                <w:iCs w:val="0"/>
                <w:color w:val="000000"/>
                <w:sz w:val="22"/>
                <w:szCs w:val="22"/>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1D368">
            <w:pPr>
              <w:jc w:val="right"/>
              <w:rPr>
                <w:rFonts w:hint="eastAsia" w:ascii="仿宋_GB2312" w:hAnsi="宋体" w:eastAsia="仿宋_GB2312" w:cs="仿宋_GB2312"/>
                <w:b/>
                <w:bCs/>
                <w:i w:val="0"/>
                <w:iCs w:val="0"/>
                <w:color w:val="000000"/>
                <w:sz w:val="22"/>
                <w:szCs w:val="22"/>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25333">
            <w:pPr>
              <w:jc w:val="right"/>
              <w:rPr>
                <w:rFonts w:hint="eastAsia" w:ascii="仿宋_GB2312" w:hAnsi="宋体" w:eastAsia="仿宋_GB2312" w:cs="仿宋_GB2312"/>
                <w:b/>
                <w:bCs/>
                <w:i w:val="0"/>
                <w:iCs w:val="0"/>
                <w:color w:val="000000"/>
                <w:sz w:val="22"/>
                <w:szCs w:val="22"/>
                <w:u w:val="none"/>
              </w:rPr>
            </w:pP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21A67">
            <w:pPr>
              <w:jc w:val="right"/>
              <w:rPr>
                <w:rFonts w:hint="eastAsia" w:ascii="仿宋_GB2312" w:hAnsi="宋体" w:eastAsia="仿宋_GB2312" w:cs="仿宋_GB2312"/>
                <w:b/>
                <w:bCs/>
                <w:i w:val="0"/>
                <w:iCs w:val="0"/>
                <w:color w:val="000000"/>
                <w:sz w:val="22"/>
                <w:szCs w:val="22"/>
                <w:u w:val="none"/>
              </w:rPr>
            </w:pP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ABDC2">
            <w:pPr>
              <w:jc w:val="right"/>
              <w:rPr>
                <w:rFonts w:hint="eastAsia" w:ascii="仿宋_GB2312" w:hAnsi="宋体" w:eastAsia="仿宋_GB2312" w:cs="仿宋_GB2312"/>
                <w:b/>
                <w:bCs/>
                <w:i w:val="0"/>
                <w:iCs w:val="0"/>
                <w:color w:val="000000"/>
                <w:sz w:val="22"/>
                <w:szCs w:val="22"/>
                <w:u w:val="none"/>
              </w:rPr>
            </w:pPr>
          </w:p>
        </w:tc>
      </w:tr>
      <w:tr w14:paraId="63E3E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75DAE">
            <w:pPr>
              <w:jc w:val="center"/>
              <w:rPr>
                <w:rFonts w:hint="eastAsia" w:ascii="仿宋_GB2312" w:hAnsi="宋体" w:eastAsia="仿宋_GB2312" w:cs="仿宋_GB2312"/>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90985">
            <w:pPr>
              <w:jc w:val="center"/>
              <w:rPr>
                <w:rFonts w:hint="eastAsia" w:ascii="仿宋_GB2312" w:hAnsi="宋体" w:eastAsia="仿宋_GB2312" w:cs="仿宋_GB2312"/>
                <w:i w:val="0"/>
                <w:iCs w:val="0"/>
                <w:color w:val="000000"/>
                <w:sz w:val="22"/>
                <w:szCs w:val="22"/>
                <w:u w:val="none"/>
              </w:rPr>
            </w:pP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0552D">
            <w:pPr>
              <w:jc w:val="right"/>
              <w:rPr>
                <w:rFonts w:hint="eastAsia" w:ascii="仿宋_GB2312" w:hAnsi="宋体" w:eastAsia="仿宋_GB2312" w:cs="仿宋_GB2312"/>
                <w:b/>
                <w:bCs/>
                <w:i w:val="0"/>
                <w:iCs w:val="0"/>
                <w:color w:val="000000"/>
                <w:sz w:val="22"/>
                <w:szCs w:val="22"/>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0F440">
            <w:pPr>
              <w:jc w:val="right"/>
              <w:rPr>
                <w:rFonts w:hint="eastAsia" w:ascii="仿宋_GB2312" w:hAnsi="宋体" w:eastAsia="仿宋_GB2312" w:cs="仿宋_GB2312"/>
                <w:b/>
                <w:bCs/>
                <w:i w:val="0"/>
                <w:iCs w:val="0"/>
                <w:color w:val="000000"/>
                <w:sz w:val="22"/>
                <w:szCs w:val="22"/>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808DB">
            <w:pPr>
              <w:jc w:val="right"/>
              <w:rPr>
                <w:rFonts w:hint="eastAsia" w:ascii="仿宋_GB2312" w:hAnsi="宋体" w:eastAsia="仿宋_GB2312" w:cs="仿宋_GB2312"/>
                <w:b/>
                <w:bCs/>
                <w:i w:val="0"/>
                <w:iCs w:val="0"/>
                <w:color w:val="000000"/>
                <w:sz w:val="22"/>
                <w:szCs w:val="22"/>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91688">
            <w:pPr>
              <w:jc w:val="right"/>
              <w:rPr>
                <w:rFonts w:hint="eastAsia" w:ascii="仿宋_GB2312" w:hAnsi="宋体" w:eastAsia="仿宋_GB2312" w:cs="仿宋_GB2312"/>
                <w:b/>
                <w:bCs/>
                <w:i w:val="0"/>
                <w:iCs w:val="0"/>
                <w:color w:val="000000"/>
                <w:sz w:val="22"/>
                <w:szCs w:val="22"/>
                <w:u w:val="none"/>
              </w:rPr>
            </w:pP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A87E4">
            <w:pPr>
              <w:jc w:val="right"/>
              <w:rPr>
                <w:rFonts w:hint="eastAsia" w:ascii="仿宋_GB2312" w:hAnsi="宋体" w:eastAsia="仿宋_GB2312" w:cs="仿宋_GB2312"/>
                <w:b/>
                <w:bCs/>
                <w:i w:val="0"/>
                <w:iCs w:val="0"/>
                <w:color w:val="000000"/>
                <w:sz w:val="22"/>
                <w:szCs w:val="22"/>
                <w:u w:val="none"/>
              </w:rPr>
            </w:pP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96A18">
            <w:pPr>
              <w:jc w:val="right"/>
              <w:rPr>
                <w:rFonts w:hint="eastAsia" w:ascii="仿宋_GB2312" w:hAnsi="宋体" w:eastAsia="仿宋_GB2312" w:cs="仿宋_GB2312"/>
                <w:b/>
                <w:bCs/>
                <w:i w:val="0"/>
                <w:iCs w:val="0"/>
                <w:color w:val="000000"/>
                <w:sz w:val="22"/>
                <w:szCs w:val="22"/>
                <w:u w:val="none"/>
              </w:rPr>
            </w:pPr>
          </w:p>
        </w:tc>
      </w:tr>
      <w:tr w14:paraId="7978D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97164">
            <w:pPr>
              <w:jc w:val="left"/>
              <w:rPr>
                <w:rFonts w:hint="eastAsia" w:ascii="仿宋_GB2312" w:hAnsi="宋体" w:eastAsia="仿宋_GB2312" w:cs="仿宋_GB2312"/>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0CD52">
            <w:pPr>
              <w:jc w:val="left"/>
              <w:rPr>
                <w:rFonts w:hint="eastAsia" w:ascii="仿宋_GB2312" w:hAnsi="宋体" w:eastAsia="仿宋_GB2312" w:cs="仿宋_GB2312"/>
                <w:i w:val="0"/>
                <w:iCs w:val="0"/>
                <w:color w:val="000000"/>
                <w:sz w:val="22"/>
                <w:szCs w:val="22"/>
                <w:u w:val="none"/>
              </w:rPr>
            </w:pPr>
          </w:p>
        </w:tc>
        <w:tc>
          <w:tcPr>
            <w:tcW w:w="6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B0B24">
            <w:pPr>
              <w:jc w:val="right"/>
              <w:rPr>
                <w:rFonts w:hint="eastAsia" w:ascii="仿宋_GB2312" w:hAnsi="宋体" w:eastAsia="仿宋_GB2312" w:cs="仿宋_GB2312"/>
                <w:i w:val="0"/>
                <w:iCs w:val="0"/>
                <w:color w:val="000000"/>
                <w:sz w:val="22"/>
                <w:szCs w:val="22"/>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0502F">
            <w:pPr>
              <w:jc w:val="right"/>
              <w:rPr>
                <w:rFonts w:hint="eastAsia" w:ascii="仿宋_GB2312" w:hAnsi="宋体" w:eastAsia="仿宋_GB2312" w:cs="仿宋_GB2312"/>
                <w:i w:val="0"/>
                <w:iCs w:val="0"/>
                <w:color w:val="000000"/>
                <w:sz w:val="22"/>
                <w:szCs w:val="22"/>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B4CFC">
            <w:pPr>
              <w:jc w:val="right"/>
              <w:rPr>
                <w:rFonts w:hint="eastAsia" w:ascii="仿宋_GB2312" w:hAnsi="宋体" w:eastAsia="仿宋_GB2312" w:cs="仿宋_GB2312"/>
                <w:i w:val="0"/>
                <w:iCs w:val="0"/>
                <w:color w:val="000000"/>
                <w:sz w:val="22"/>
                <w:szCs w:val="22"/>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68950">
            <w:pPr>
              <w:jc w:val="right"/>
              <w:rPr>
                <w:rFonts w:hint="eastAsia" w:ascii="仿宋_GB2312" w:hAnsi="宋体" w:eastAsia="仿宋_GB2312" w:cs="仿宋_GB2312"/>
                <w:i w:val="0"/>
                <w:iCs w:val="0"/>
                <w:color w:val="000000"/>
                <w:sz w:val="22"/>
                <w:szCs w:val="22"/>
                <w:u w:val="none"/>
              </w:rPr>
            </w:pPr>
          </w:p>
        </w:tc>
        <w:tc>
          <w:tcPr>
            <w:tcW w:w="5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35792">
            <w:pPr>
              <w:jc w:val="right"/>
              <w:rPr>
                <w:rFonts w:hint="eastAsia" w:ascii="仿宋_GB2312" w:hAnsi="宋体" w:eastAsia="仿宋_GB2312" w:cs="仿宋_GB2312"/>
                <w:i w:val="0"/>
                <w:iCs w:val="0"/>
                <w:color w:val="000000"/>
                <w:sz w:val="22"/>
                <w:szCs w:val="22"/>
                <w:u w:val="none"/>
              </w:rPr>
            </w:pP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F3A7C">
            <w:pPr>
              <w:jc w:val="right"/>
              <w:rPr>
                <w:rFonts w:hint="eastAsia" w:ascii="仿宋_GB2312" w:hAnsi="宋体" w:eastAsia="仿宋_GB2312" w:cs="仿宋_GB2312"/>
                <w:i w:val="0"/>
                <w:iCs w:val="0"/>
                <w:color w:val="000000"/>
                <w:sz w:val="22"/>
                <w:szCs w:val="22"/>
                <w:u w:val="none"/>
              </w:rPr>
            </w:pPr>
          </w:p>
        </w:tc>
      </w:tr>
    </w:tbl>
    <w:p w14:paraId="682857E7">
      <w:pPr>
        <w:pStyle w:val="3"/>
        <w:rPr>
          <w:rFonts w:ascii="Times New Roman" w:hAnsi="Times New Roman" w:eastAsia="仿宋_GB2312" w:cs="Times New Roman"/>
          <w:color w:val="000000"/>
          <w:kern w:val="0"/>
          <w:sz w:val="24"/>
          <w:szCs w:val="24"/>
          <w:lang w:bidi="ar"/>
        </w:rPr>
      </w:pPr>
    </w:p>
    <w:tbl>
      <w:tblPr>
        <w:tblStyle w:val="8"/>
        <w:tblW w:w="171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971"/>
        <w:gridCol w:w="353"/>
        <w:gridCol w:w="353"/>
        <w:gridCol w:w="353"/>
        <w:gridCol w:w="353"/>
        <w:gridCol w:w="353"/>
        <w:gridCol w:w="353"/>
        <w:gridCol w:w="353"/>
        <w:gridCol w:w="353"/>
        <w:gridCol w:w="349"/>
      </w:tblGrid>
      <w:tr w14:paraId="2A614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144" w:type="dxa"/>
            <w:gridSpan w:val="10"/>
            <w:tcBorders>
              <w:top w:val="nil"/>
              <w:left w:val="nil"/>
              <w:bottom w:val="nil"/>
              <w:right w:val="nil"/>
            </w:tcBorders>
            <w:shd w:val="clear" w:color="auto" w:fill="auto"/>
            <w:noWrap/>
            <w:vAlign w:val="center"/>
          </w:tcPr>
          <w:p w14:paraId="0E7638BE">
            <w:pPr>
              <w:keepNext w:val="0"/>
              <w:keepLines w:val="0"/>
              <w:widowControl/>
              <w:suppressLineNumbers w:val="0"/>
              <w:jc w:val="left"/>
              <w:textAlignment w:val="center"/>
              <w:rPr>
                <w:rFonts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注：本表反映部门本年度政府性基金预算财政拨款收入、支出及结转和结余情况。</w:t>
            </w:r>
          </w:p>
        </w:tc>
      </w:tr>
      <w:tr w14:paraId="4BE04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auto"/>
            <w:noWrap/>
            <w:vAlign w:val="center"/>
          </w:tcPr>
          <w:p w14:paraId="68EB5DF6">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说明：我单位没有政府性基金收入，也没有使用政府性基金安排的支出，故本表无数据。</w:t>
            </w:r>
          </w:p>
        </w:tc>
        <w:tc>
          <w:tcPr>
            <w:tcW w:w="0" w:type="auto"/>
            <w:tcBorders>
              <w:top w:val="nil"/>
              <w:left w:val="nil"/>
              <w:bottom w:val="nil"/>
              <w:right w:val="nil"/>
            </w:tcBorders>
            <w:shd w:val="clear" w:color="auto" w:fill="auto"/>
            <w:noWrap/>
            <w:vAlign w:val="center"/>
          </w:tcPr>
          <w:p w14:paraId="10F6E7AB">
            <w:pPr>
              <w:rPr>
                <w:rFonts w:hint="eastAsia" w:ascii="仿宋_GB2312" w:hAnsi="宋体" w:eastAsia="仿宋_GB2312" w:cs="仿宋_GB2312"/>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125C685A">
            <w:pPr>
              <w:rPr>
                <w:rFonts w:hint="eastAsia" w:ascii="仿宋_GB2312" w:hAnsi="宋体" w:eastAsia="仿宋_GB2312" w:cs="仿宋_GB2312"/>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20E655E">
            <w:pPr>
              <w:rPr>
                <w:rFonts w:hint="eastAsia" w:ascii="仿宋_GB2312" w:hAnsi="宋体" w:eastAsia="仿宋_GB2312" w:cs="仿宋_GB2312"/>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BFD7483">
            <w:pPr>
              <w:rPr>
                <w:rFonts w:hint="eastAsia" w:ascii="仿宋_GB2312" w:hAnsi="宋体" w:eastAsia="仿宋_GB2312" w:cs="仿宋_GB2312"/>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9D1D86A">
            <w:pPr>
              <w:rPr>
                <w:rFonts w:hint="eastAsia" w:ascii="仿宋_GB2312" w:hAnsi="宋体" w:eastAsia="仿宋_GB2312" w:cs="仿宋_GB2312"/>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245C825">
            <w:pPr>
              <w:rPr>
                <w:rFonts w:hint="eastAsia" w:ascii="仿宋_GB2312" w:hAnsi="宋体" w:eastAsia="仿宋_GB2312" w:cs="仿宋_GB2312"/>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24832FF">
            <w:pPr>
              <w:jc w:val="both"/>
              <w:rPr>
                <w:rFonts w:hint="eastAsia" w:ascii="仿宋_GB2312" w:hAnsi="宋体" w:eastAsia="仿宋_GB2312" w:cs="仿宋_GB2312"/>
                <w:b/>
                <w:bCs/>
                <w:i w:val="0"/>
                <w:iCs w:val="0"/>
                <w:color w:val="000000"/>
                <w:sz w:val="24"/>
                <w:szCs w:val="24"/>
                <w:u w:val="none"/>
              </w:rPr>
            </w:pPr>
          </w:p>
        </w:tc>
        <w:tc>
          <w:tcPr>
            <w:tcW w:w="0" w:type="auto"/>
            <w:tcBorders>
              <w:top w:val="nil"/>
              <w:left w:val="nil"/>
              <w:bottom w:val="nil"/>
              <w:right w:val="nil"/>
            </w:tcBorders>
            <w:shd w:val="clear" w:color="auto" w:fill="auto"/>
            <w:noWrap/>
            <w:vAlign w:val="center"/>
          </w:tcPr>
          <w:p w14:paraId="654C766E">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B7908EA">
            <w:pPr>
              <w:rPr>
                <w:rFonts w:hint="eastAsia" w:ascii="宋体" w:hAnsi="宋体" w:eastAsia="宋体" w:cs="宋体"/>
                <w:i w:val="0"/>
                <w:iCs w:val="0"/>
                <w:color w:val="000000"/>
                <w:sz w:val="22"/>
                <w:szCs w:val="22"/>
                <w:u w:val="none"/>
              </w:rPr>
            </w:pPr>
          </w:p>
        </w:tc>
      </w:tr>
    </w:tbl>
    <w:p w14:paraId="025CF948">
      <w:pPr>
        <w:pStyle w:val="2"/>
      </w:pPr>
    </w:p>
    <w:p w14:paraId="50561CE9">
      <w:pPr>
        <w:pStyle w:val="3"/>
      </w:pPr>
    </w:p>
    <w:p w14:paraId="4D6CF5F3">
      <w:pPr>
        <w:widowControl/>
        <w:jc w:val="center"/>
        <w:rPr>
          <w:rFonts w:ascii="Times New Roman" w:hAnsi="Times New Roman" w:eastAsia="方正小标宋_GBK" w:cs="Times New Roman"/>
          <w:color w:val="000000"/>
          <w:kern w:val="0"/>
          <w:sz w:val="36"/>
          <w:szCs w:val="36"/>
        </w:rPr>
      </w:pPr>
    </w:p>
    <w:p w14:paraId="2805938B">
      <w:pPr>
        <w:pStyle w:val="2"/>
        <w:rPr>
          <w:rFonts w:ascii="Times New Roman" w:hAnsi="Times New Roman" w:eastAsia="方正小标宋_GBK" w:cs="Times New Roman"/>
          <w:color w:val="000000"/>
          <w:kern w:val="0"/>
          <w:sz w:val="36"/>
          <w:szCs w:val="36"/>
        </w:rPr>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75"/>
        <w:gridCol w:w="3049"/>
        <w:gridCol w:w="2650"/>
        <w:gridCol w:w="2777"/>
        <w:gridCol w:w="3235"/>
      </w:tblGrid>
      <w:tr w14:paraId="44994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5"/>
            <w:tcBorders>
              <w:top w:val="nil"/>
              <w:left w:val="nil"/>
              <w:bottom w:val="nil"/>
              <w:right w:val="nil"/>
            </w:tcBorders>
            <w:shd w:val="clear" w:color="auto" w:fill="auto"/>
            <w:noWrap/>
            <w:vAlign w:val="center"/>
          </w:tcPr>
          <w:p w14:paraId="6F2589BA">
            <w:pPr>
              <w:keepNext w:val="0"/>
              <w:keepLines w:val="0"/>
              <w:widowControl/>
              <w:suppressLineNumbers w:val="0"/>
              <w:jc w:val="center"/>
              <w:textAlignment w:val="center"/>
              <w:rPr>
                <w:rFonts w:ascii="黑体" w:hAnsi="宋体" w:eastAsia="黑体" w:cs="黑体"/>
                <w:i w:val="0"/>
                <w:iCs w:val="0"/>
                <w:color w:val="000000"/>
                <w:sz w:val="36"/>
                <w:szCs w:val="36"/>
                <w:u w:val="none"/>
              </w:rPr>
            </w:pPr>
            <w:r>
              <w:rPr>
                <w:rFonts w:hint="eastAsia" w:ascii="黑体" w:hAnsi="宋体" w:eastAsia="黑体" w:cs="黑体"/>
                <w:i w:val="0"/>
                <w:iCs w:val="0"/>
                <w:color w:val="000000"/>
                <w:kern w:val="0"/>
                <w:sz w:val="36"/>
                <w:szCs w:val="36"/>
                <w:u w:val="none"/>
                <w:lang w:val="en-US" w:eastAsia="zh-CN" w:bidi="ar"/>
              </w:rPr>
              <w:t>国有资本经营预算财政拨款支出决算表</w:t>
            </w:r>
          </w:p>
        </w:tc>
      </w:tr>
      <w:tr w14:paraId="0CBA3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40" w:type="pct"/>
            <w:tcBorders>
              <w:top w:val="nil"/>
              <w:left w:val="nil"/>
              <w:bottom w:val="nil"/>
              <w:right w:val="nil"/>
            </w:tcBorders>
            <w:shd w:val="clear" w:color="auto" w:fill="auto"/>
            <w:noWrap/>
            <w:vAlign w:val="center"/>
          </w:tcPr>
          <w:p w14:paraId="2987E694">
            <w:pPr>
              <w:rPr>
                <w:rFonts w:hint="eastAsia" w:ascii="仿宋_GB2312" w:hAnsi="宋体" w:eastAsia="仿宋_GB2312" w:cs="仿宋_GB2312"/>
                <w:i w:val="0"/>
                <w:iCs w:val="0"/>
                <w:color w:val="000000"/>
                <w:sz w:val="22"/>
                <w:szCs w:val="22"/>
                <w:u w:val="none"/>
              </w:rPr>
            </w:pPr>
          </w:p>
        </w:tc>
        <w:tc>
          <w:tcPr>
            <w:tcW w:w="1031" w:type="pct"/>
            <w:tcBorders>
              <w:top w:val="nil"/>
              <w:left w:val="nil"/>
              <w:bottom w:val="nil"/>
              <w:right w:val="nil"/>
            </w:tcBorders>
            <w:shd w:val="clear" w:color="auto" w:fill="auto"/>
            <w:noWrap/>
            <w:vAlign w:val="center"/>
          </w:tcPr>
          <w:p w14:paraId="3385E922">
            <w:pPr>
              <w:rPr>
                <w:rFonts w:hint="eastAsia" w:ascii="仿宋_GB2312" w:hAnsi="宋体" w:eastAsia="仿宋_GB2312" w:cs="仿宋_GB2312"/>
                <w:i w:val="0"/>
                <w:iCs w:val="0"/>
                <w:color w:val="000000"/>
                <w:sz w:val="22"/>
                <w:szCs w:val="22"/>
                <w:u w:val="none"/>
              </w:rPr>
            </w:pPr>
          </w:p>
        </w:tc>
        <w:tc>
          <w:tcPr>
            <w:tcW w:w="896" w:type="pct"/>
            <w:tcBorders>
              <w:top w:val="nil"/>
              <w:left w:val="nil"/>
              <w:bottom w:val="nil"/>
              <w:right w:val="nil"/>
            </w:tcBorders>
            <w:shd w:val="clear" w:color="auto" w:fill="auto"/>
            <w:noWrap/>
            <w:vAlign w:val="center"/>
          </w:tcPr>
          <w:p w14:paraId="26D7F00A">
            <w:pPr>
              <w:rPr>
                <w:rFonts w:hint="eastAsia" w:ascii="仿宋_GB2312" w:hAnsi="宋体" w:eastAsia="仿宋_GB2312" w:cs="仿宋_GB2312"/>
                <w:i w:val="0"/>
                <w:iCs w:val="0"/>
                <w:color w:val="000000"/>
                <w:sz w:val="22"/>
                <w:szCs w:val="22"/>
                <w:u w:val="none"/>
              </w:rPr>
            </w:pPr>
          </w:p>
        </w:tc>
        <w:tc>
          <w:tcPr>
            <w:tcW w:w="938" w:type="pct"/>
            <w:tcBorders>
              <w:top w:val="nil"/>
              <w:left w:val="nil"/>
              <w:bottom w:val="nil"/>
              <w:right w:val="nil"/>
            </w:tcBorders>
            <w:shd w:val="clear" w:color="auto" w:fill="auto"/>
            <w:noWrap/>
            <w:vAlign w:val="center"/>
          </w:tcPr>
          <w:p w14:paraId="6EFB98BF">
            <w:pPr>
              <w:rPr>
                <w:rFonts w:hint="default" w:ascii="仿宋_GB2312" w:hAnsi="宋体" w:eastAsia="仿宋_GB2312" w:cs="仿宋_GB2312"/>
                <w:i w:val="0"/>
                <w:iCs w:val="0"/>
                <w:color w:val="000000"/>
                <w:sz w:val="22"/>
                <w:szCs w:val="22"/>
                <w:u w:val="none"/>
                <w:lang w:val="en-US" w:eastAsia="zh-CN"/>
              </w:rPr>
            </w:pPr>
            <w:r>
              <w:rPr>
                <w:rFonts w:hint="eastAsia" w:ascii="仿宋_GB2312" w:hAnsi="宋体" w:eastAsia="仿宋_GB2312" w:cs="仿宋_GB2312"/>
                <w:i w:val="0"/>
                <w:iCs w:val="0"/>
                <w:color w:val="000000"/>
                <w:sz w:val="22"/>
                <w:szCs w:val="22"/>
                <w:u w:val="none"/>
                <w:lang w:val="en-US" w:eastAsia="zh-CN"/>
              </w:rPr>
              <w:t xml:space="preserve">                            </w:t>
            </w:r>
          </w:p>
        </w:tc>
        <w:tc>
          <w:tcPr>
            <w:tcW w:w="1093" w:type="pct"/>
            <w:tcBorders>
              <w:top w:val="nil"/>
              <w:left w:val="nil"/>
              <w:bottom w:val="nil"/>
              <w:right w:val="nil"/>
            </w:tcBorders>
            <w:shd w:val="clear" w:color="auto" w:fill="auto"/>
            <w:noWrap/>
            <w:vAlign w:val="center"/>
          </w:tcPr>
          <w:p w14:paraId="349444C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公开08表</w:t>
            </w:r>
          </w:p>
        </w:tc>
      </w:tr>
      <w:tr w14:paraId="05E0B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40" w:type="pct"/>
            <w:tcBorders>
              <w:top w:val="nil"/>
              <w:left w:val="nil"/>
              <w:bottom w:val="nil"/>
              <w:right w:val="nil"/>
            </w:tcBorders>
            <w:shd w:val="clear" w:color="auto" w:fill="auto"/>
            <w:noWrap/>
            <w:vAlign w:val="center"/>
          </w:tcPr>
          <w:p w14:paraId="022C9425">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单位：湖南省知识产权保护中心</w:t>
            </w:r>
          </w:p>
        </w:tc>
        <w:tc>
          <w:tcPr>
            <w:tcW w:w="1031" w:type="pct"/>
            <w:tcBorders>
              <w:top w:val="nil"/>
              <w:left w:val="nil"/>
              <w:bottom w:val="nil"/>
              <w:right w:val="nil"/>
            </w:tcBorders>
            <w:shd w:val="clear" w:color="auto" w:fill="auto"/>
            <w:noWrap/>
            <w:vAlign w:val="center"/>
          </w:tcPr>
          <w:p w14:paraId="2B344B89">
            <w:pPr>
              <w:rPr>
                <w:rFonts w:hint="eastAsia" w:ascii="仿宋_GB2312" w:hAnsi="宋体" w:eastAsia="仿宋_GB2312" w:cs="仿宋_GB2312"/>
                <w:i w:val="0"/>
                <w:iCs w:val="0"/>
                <w:color w:val="000000"/>
                <w:sz w:val="22"/>
                <w:szCs w:val="22"/>
                <w:u w:val="none"/>
              </w:rPr>
            </w:pPr>
          </w:p>
        </w:tc>
        <w:tc>
          <w:tcPr>
            <w:tcW w:w="896" w:type="pct"/>
            <w:tcBorders>
              <w:top w:val="nil"/>
              <w:left w:val="nil"/>
              <w:bottom w:val="nil"/>
              <w:right w:val="nil"/>
            </w:tcBorders>
            <w:shd w:val="clear" w:color="auto" w:fill="auto"/>
            <w:noWrap/>
            <w:vAlign w:val="center"/>
          </w:tcPr>
          <w:p w14:paraId="7674B9D7">
            <w:pPr>
              <w:rPr>
                <w:rFonts w:hint="eastAsia" w:ascii="仿宋_GB2312" w:hAnsi="宋体" w:eastAsia="仿宋_GB2312" w:cs="仿宋_GB2312"/>
                <w:i w:val="0"/>
                <w:iCs w:val="0"/>
                <w:color w:val="000000"/>
                <w:sz w:val="22"/>
                <w:szCs w:val="22"/>
                <w:u w:val="none"/>
              </w:rPr>
            </w:pPr>
          </w:p>
        </w:tc>
        <w:tc>
          <w:tcPr>
            <w:tcW w:w="938" w:type="pct"/>
            <w:tcBorders>
              <w:top w:val="nil"/>
              <w:left w:val="nil"/>
              <w:bottom w:val="nil"/>
              <w:right w:val="nil"/>
            </w:tcBorders>
            <w:shd w:val="clear" w:color="auto" w:fill="auto"/>
            <w:noWrap/>
            <w:vAlign w:val="center"/>
          </w:tcPr>
          <w:p w14:paraId="7B29C9B8">
            <w:pPr>
              <w:rPr>
                <w:rFonts w:hint="eastAsia" w:ascii="仿宋_GB2312" w:hAnsi="宋体" w:eastAsia="仿宋_GB2312" w:cs="仿宋_GB2312"/>
                <w:i w:val="0"/>
                <w:iCs w:val="0"/>
                <w:color w:val="000000"/>
                <w:sz w:val="22"/>
                <w:szCs w:val="22"/>
                <w:u w:val="none"/>
              </w:rPr>
            </w:pPr>
          </w:p>
        </w:tc>
        <w:tc>
          <w:tcPr>
            <w:tcW w:w="1093" w:type="pct"/>
            <w:tcBorders>
              <w:top w:val="nil"/>
              <w:left w:val="nil"/>
              <w:bottom w:val="nil"/>
              <w:right w:val="nil"/>
            </w:tcBorders>
            <w:shd w:val="clear" w:color="auto" w:fill="auto"/>
            <w:noWrap/>
            <w:vAlign w:val="center"/>
          </w:tcPr>
          <w:p w14:paraId="212F2CFF">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单位：万元</w:t>
            </w:r>
          </w:p>
        </w:tc>
      </w:tr>
      <w:tr w14:paraId="17FB1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9DB5C">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项    目</w:t>
            </w:r>
          </w:p>
        </w:tc>
        <w:tc>
          <w:tcPr>
            <w:tcW w:w="292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8A2D5B">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本年支出</w:t>
            </w:r>
          </w:p>
        </w:tc>
      </w:tr>
      <w:tr w14:paraId="7BEAA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B346D8">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科目代码</w:t>
            </w:r>
          </w:p>
        </w:tc>
        <w:tc>
          <w:tcPr>
            <w:tcW w:w="10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B980C">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科目名称</w:t>
            </w:r>
          </w:p>
        </w:tc>
        <w:tc>
          <w:tcPr>
            <w:tcW w:w="8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DC2B6E">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合计</w:t>
            </w:r>
          </w:p>
        </w:tc>
        <w:tc>
          <w:tcPr>
            <w:tcW w:w="9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83A438">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基本支出</w:t>
            </w:r>
          </w:p>
        </w:tc>
        <w:tc>
          <w:tcPr>
            <w:tcW w:w="10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46E6AB">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项目支出</w:t>
            </w:r>
          </w:p>
        </w:tc>
      </w:tr>
      <w:tr w14:paraId="08872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8B7E53">
            <w:pPr>
              <w:jc w:val="center"/>
              <w:rPr>
                <w:rFonts w:hint="eastAsia" w:ascii="仿宋_GB2312" w:hAnsi="宋体" w:eastAsia="仿宋_GB2312" w:cs="仿宋_GB2312"/>
                <w:b/>
                <w:bCs/>
                <w:i w:val="0"/>
                <w:iCs w:val="0"/>
                <w:color w:val="000000"/>
                <w:sz w:val="22"/>
                <w:szCs w:val="22"/>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47DEA">
            <w:pPr>
              <w:jc w:val="center"/>
              <w:rPr>
                <w:rFonts w:hint="eastAsia" w:ascii="仿宋_GB2312" w:hAnsi="宋体" w:eastAsia="仿宋_GB2312" w:cs="仿宋_GB2312"/>
                <w:b/>
                <w:bCs/>
                <w:i w:val="0"/>
                <w:iCs w:val="0"/>
                <w:color w:val="000000"/>
                <w:sz w:val="22"/>
                <w:szCs w:val="22"/>
                <w:u w:val="none"/>
              </w:rPr>
            </w:pPr>
          </w:p>
        </w:tc>
        <w:tc>
          <w:tcPr>
            <w:tcW w:w="8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8EDF42">
            <w:pPr>
              <w:jc w:val="center"/>
              <w:rPr>
                <w:rFonts w:hint="eastAsia" w:ascii="仿宋_GB2312" w:hAnsi="宋体" w:eastAsia="仿宋_GB2312" w:cs="仿宋_GB2312"/>
                <w:b/>
                <w:bCs/>
                <w:i w:val="0"/>
                <w:iCs w:val="0"/>
                <w:color w:val="000000"/>
                <w:sz w:val="22"/>
                <w:szCs w:val="22"/>
                <w:u w:val="none"/>
              </w:rPr>
            </w:pPr>
          </w:p>
        </w:tc>
        <w:tc>
          <w:tcPr>
            <w:tcW w:w="9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08D52C">
            <w:pPr>
              <w:jc w:val="center"/>
              <w:rPr>
                <w:rFonts w:hint="eastAsia" w:ascii="仿宋_GB2312" w:hAnsi="宋体" w:eastAsia="仿宋_GB2312" w:cs="仿宋_GB2312"/>
                <w:b/>
                <w:bCs/>
                <w:i w:val="0"/>
                <w:iCs w:val="0"/>
                <w:color w:val="000000"/>
                <w:sz w:val="22"/>
                <w:szCs w:val="22"/>
                <w:u w:val="none"/>
              </w:rPr>
            </w:pPr>
          </w:p>
        </w:tc>
        <w:tc>
          <w:tcPr>
            <w:tcW w:w="10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36368D">
            <w:pPr>
              <w:jc w:val="center"/>
              <w:rPr>
                <w:rFonts w:hint="eastAsia" w:ascii="仿宋_GB2312" w:hAnsi="宋体" w:eastAsia="仿宋_GB2312" w:cs="仿宋_GB2312"/>
                <w:b/>
                <w:bCs/>
                <w:i w:val="0"/>
                <w:iCs w:val="0"/>
                <w:color w:val="000000"/>
                <w:sz w:val="22"/>
                <w:szCs w:val="22"/>
                <w:u w:val="none"/>
              </w:rPr>
            </w:pPr>
          </w:p>
        </w:tc>
      </w:tr>
      <w:tr w14:paraId="2FB17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C71D12">
            <w:pPr>
              <w:jc w:val="center"/>
              <w:rPr>
                <w:rFonts w:hint="eastAsia" w:ascii="仿宋_GB2312" w:hAnsi="宋体" w:eastAsia="仿宋_GB2312" w:cs="仿宋_GB2312"/>
                <w:b/>
                <w:bCs/>
                <w:i w:val="0"/>
                <w:iCs w:val="0"/>
                <w:color w:val="000000"/>
                <w:sz w:val="22"/>
                <w:szCs w:val="22"/>
                <w:u w:val="none"/>
              </w:rPr>
            </w:pPr>
          </w:p>
        </w:tc>
        <w:tc>
          <w:tcPr>
            <w:tcW w:w="10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0CC30">
            <w:pPr>
              <w:jc w:val="center"/>
              <w:rPr>
                <w:rFonts w:hint="eastAsia" w:ascii="仿宋_GB2312" w:hAnsi="宋体" w:eastAsia="仿宋_GB2312" w:cs="仿宋_GB2312"/>
                <w:b/>
                <w:bCs/>
                <w:i w:val="0"/>
                <w:iCs w:val="0"/>
                <w:color w:val="000000"/>
                <w:sz w:val="22"/>
                <w:szCs w:val="22"/>
                <w:u w:val="none"/>
              </w:rPr>
            </w:pPr>
          </w:p>
        </w:tc>
        <w:tc>
          <w:tcPr>
            <w:tcW w:w="8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2F19EB">
            <w:pPr>
              <w:jc w:val="center"/>
              <w:rPr>
                <w:rFonts w:hint="eastAsia" w:ascii="仿宋_GB2312" w:hAnsi="宋体" w:eastAsia="仿宋_GB2312" w:cs="仿宋_GB2312"/>
                <w:b/>
                <w:bCs/>
                <w:i w:val="0"/>
                <w:iCs w:val="0"/>
                <w:color w:val="000000"/>
                <w:sz w:val="22"/>
                <w:szCs w:val="22"/>
                <w:u w:val="none"/>
              </w:rPr>
            </w:pPr>
          </w:p>
        </w:tc>
        <w:tc>
          <w:tcPr>
            <w:tcW w:w="9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0049C">
            <w:pPr>
              <w:jc w:val="center"/>
              <w:rPr>
                <w:rFonts w:hint="eastAsia" w:ascii="仿宋_GB2312" w:hAnsi="宋体" w:eastAsia="仿宋_GB2312" w:cs="仿宋_GB2312"/>
                <w:b/>
                <w:bCs/>
                <w:i w:val="0"/>
                <w:iCs w:val="0"/>
                <w:color w:val="000000"/>
                <w:sz w:val="22"/>
                <w:szCs w:val="22"/>
                <w:u w:val="none"/>
              </w:rPr>
            </w:pPr>
          </w:p>
        </w:tc>
        <w:tc>
          <w:tcPr>
            <w:tcW w:w="10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2830C4">
            <w:pPr>
              <w:jc w:val="center"/>
              <w:rPr>
                <w:rFonts w:hint="eastAsia" w:ascii="仿宋_GB2312" w:hAnsi="宋体" w:eastAsia="仿宋_GB2312" w:cs="仿宋_GB2312"/>
                <w:b/>
                <w:bCs/>
                <w:i w:val="0"/>
                <w:iCs w:val="0"/>
                <w:color w:val="000000"/>
                <w:sz w:val="22"/>
                <w:szCs w:val="22"/>
                <w:u w:val="none"/>
              </w:rPr>
            </w:pPr>
          </w:p>
        </w:tc>
      </w:tr>
      <w:tr w14:paraId="69FA2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A36B7">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栏次</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A5058">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9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6ED7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0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25E9E">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r>
      <w:tr w14:paraId="232D5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51B3B">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合计</w:t>
            </w: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49DC0">
            <w:pPr>
              <w:jc w:val="right"/>
              <w:rPr>
                <w:rFonts w:hint="default" w:ascii="Times New Roman" w:hAnsi="Times New Roman" w:eastAsia="宋体" w:cs="Times New Roman"/>
                <w:b/>
                <w:bCs/>
                <w:i w:val="0"/>
                <w:iCs w:val="0"/>
                <w:color w:val="000000"/>
                <w:sz w:val="22"/>
                <w:szCs w:val="22"/>
                <w:u w:val="none"/>
              </w:rPr>
            </w:pPr>
          </w:p>
        </w:tc>
        <w:tc>
          <w:tcPr>
            <w:tcW w:w="9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CF495">
            <w:pPr>
              <w:keepNext w:val="0"/>
              <w:keepLines w:val="0"/>
              <w:widowControl/>
              <w:suppressLineNumbers w:val="0"/>
              <w:jc w:val="right"/>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0.00</w:t>
            </w:r>
          </w:p>
        </w:tc>
        <w:tc>
          <w:tcPr>
            <w:tcW w:w="10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102AE">
            <w:pPr>
              <w:jc w:val="right"/>
              <w:rPr>
                <w:rFonts w:hint="default" w:ascii="Times New Roman" w:hAnsi="Times New Roman" w:eastAsia="宋体" w:cs="Times New Roman"/>
                <w:b/>
                <w:bCs/>
                <w:i w:val="0"/>
                <w:iCs w:val="0"/>
                <w:color w:val="000000"/>
                <w:sz w:val="22"/>
                <w:szCs w:val="22"/>
                <w:u w:val="none"/>
              </w:rPr>
            </w:pPr>
          </w:p>
        </w:tc>
      </w:tr>
      <w:tr w14:paraId="161D5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0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E2744">
            <w:pPr>
              <w:jc w:val="left"/>
              <w:rPr>
                <w:rFonts w:hint="eastAsia" w:ascii="仿宋_GB2312" w:hAnsi="宋体" w:eastAsia="仿宋_GB2312" w:cs="仿宋_GB2312"/>
                <w:i w:val="0"/>
                <w:iCs w:val="0"/>
                <w:color w:val="000000"/>
                <w:sz w:val="22"/>
                <w:szCs w:val="22"/>
                <w:u w:val="none"/>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ED7CF">
            <w:pPr>
              <w:jc w:val="left"/>
              <w:rPr>
                <w:rFonts w:hint="eastAsia" w:ascii="仿宋_GB2312" w:hAnsi="宋体" w:eastAsia="仿宋_GB2312" w:cs="仿宋_GB2312"/>
                <w:i w:val="0"/>
                <w:iCs w:val="0"/>
                <w:color w:val="000000"/>
                <w:sz w:val="22"/>
                <w:szCs w:val="22"/>
                <w:u w:val="none"/>
              </w:rPr>
            </w:pP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A8F3F">
            <w:pPr>
              <w:jc w:val="right"/>
              <w:rPr>
                <w:rFonts w:hint="eastAsia" w:ascii="仿宋_GB2312" w:hAnsi="宋体" w:eastAsia="仿宋_GB2312" w:cs="仿宋_GB2312"/>
                <w:i w:val="0"/>
                <w:iCs w:val="0"/>
                <w:color w:val="000000"/>
                <w:sz w:val="22"/>
                <w:szCs w:val="22"/>
                <w:u w:val="none"/>
              </w:rPr>
            </w:pPr>
          </w:p>
        </w:tc>
        <w:tc>
          <w:tcPr>
            <w:tcW w:w="9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227AA">
            <w:pPr>
              <w:jc w:val="right"/>
              <w:rPr>
                <w:rFonts w:hint="eastAsia" w:ascii="仿宋_GB2312" w:hAnsi="宋体" w:eastAsia="仿宋_GB2312" w:cs="仿宋_GB2312"/>
                <w:i w:val="0"/>
                <w:iCs w:val="0"/>
                <w:color w:val="000000"/>
                <w:sz w:val="22"/>
                <w:szCs w:val="22"/>
                <w:u w:val="none"/>
              </w:rPr>
            </w:pPr>
          </w:p>
        </w:tc>
        <w:tc>
          <w:tcPr>
            <w:tcW w:w="10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C856B">
            <w:pPr>
              <w:jc w:val="right"/>
              <w:rPr>
                <w:rFonts w:hint="eastAsia" w:ascii="仿宋_GB2312" w:hAnsi="宋体" w:eastAsia="仿宋_GB2312" w:cs="仿宋_GB2312"/>
                <w:i w:val="0"/>
                <w:iCs w:val="0"/>
                <w:color w:val="000000"/>
                <w:sz w:val="22"/>
                <w:szCs w:val="22"/>
                <w:u w:val="none"/>
              </w:rPr>
            </w:pPr>
          </w:p>
        </w:tc>
      </w:tr>
      <w:tr w14:paraId="12067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0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22621">
            <w:pPr>
              <w:jc w:val="left"/>
              <w:rPr>
                <w:rFonts w:hint="eastAsia" w:ascii="仿宋_GB2312" w:hAnsi="宋体" w:eastAsia="仿宋_GB2312" w:cs="仿宋_GB2312"/>
                <w:i w:val="0"/>
                <w:iCs w:val="0"/>
                <w:color w:val="000000"/>
                <w:sz w:val="22"/>
                <w:szCs w:val="22"/>
                <w:u w:val="none"/>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6D789">
            <w:pPr>
              <w:jc w:val="left"/>
              <w:rPr>
                <w:rFonts w:hint="eastAsia" w:ascii="仿宋_GB2312" w:hAnsi="宋体" w:eastAsia="仿宋_GB2312" w:cs="仿宋_GB2312"/>
                <w:i w:val="0"/>
                <w:iCs w:val="0"/>
                <w:color w:val="000000"/>
                <w:sz w:val="22"/>
                <w:szCs w:val="22"/>
                <w:u w:val="none"/>
              </w:rPr>
            </w:pP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E942B">
            <w:pPr>
              <w:jc w:val="left"/>
              <w:rPr>
                <w:rFonts w:hint="eastAsia" w:ascii="仿宋_GB2312" w:hAnsi="宋体" w:eastAsia="仿宋_GB2312" w:cs="仿宋_GB2312"/>
                <w:i w:val="0"/>
                <w:iCs w:val="0"/>
                <w:color w:val="000000"/>
                <w:sz w:val="22"/>
                <w:szCs w:val="22"/>
                <w:u w:val="none"/>
              </w:rPr>
            </w:pPr>
          </w:p>
        </w:tc>
        <w:tc>
          <w:tcPr>
            <w:tcW w:w="9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5EB05">
            <w:pPr>
              <w:jc w:val="left"/>
              <w:rPr>
                <w:rFonts w:hint="eastAsia" w:ascii="仿宋_GB2312" w:hAnsi="宋体" w:eastAsia="仿宋_GB2312" w:cs="仿宋_GB2312"/>
                <w:i w:val="0"/>
                <w:iCs w:val="0"/>
                <w:color w:val="000000"/>
                <w:sz w:val="22"/>
                <w:szCs w:val="22"/>
                <w:u w:val="none"/>
              </w:rPr>
            </w:pPr>
          </w:p>
        </w:tc>
        <w:tc>
          <w:tcPr>
            <w:tcW w:w="10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31F55">
            <w:pPr>
              <w:jc w:val="left"/>
              <w:rPr>
                <w:rFonts w:hint="eastAsia" w:ascii="仿宋_GB2312" w:hAnsi="宋体" w:eastAsia="仿宋_GB2312" w:cs="仿宋_GB2312"/>
                <w:i w:val="0"/>
                <w:iCs w:val="0"/>
                <w:color w:val="000000"/>
                <w:sz w:val="22"/>
                <w:szCs w:val="22"/>
                <w:u w:val="none"/>
              </w:rPr>
            </w:pPr>
          </w:p>
        </w:tc>
      </w:tr>
      <w:tr w14:paraId="1BF3B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0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3C262">
            <w:pPr>
              <w:jc w:val="left"/>
              <w:rPr>
                <w:rFonts w:hint="eastAsia" w:ascii="仿宋_GB2312" w:hAnsi="宋体" w:eastAsia="仿宋_GB2312" w:cs="仿宋_GB2312"/>
                <w:i w:val="0"/>
                <w:iCs w:val="0"/>
                <w:color w:val="000000"/>
                <w:sz w:val="22"/>
                <w:szCs w:val="22"/>
                <w:u w:val="none"/>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BD3B1">
            <w:pPr>
              <w:jc w:val="left"/>
              <w:rPr>
                <w:rFonts w:hint="eastAsia" w:ascii="仿宋_GB2312" w:hAnsi="宋体" w:eastAsia="仿宋_GB2312" w:cs="仿宋_GB2312"/>
                <w:i w:val="0"/>
                <w:iCs w:val="0"/>
                <w:color w:val="000000"/>
                <w:sz w:val="22"/>
                <w:szCs w:val="22"/>
                <w:u w:val="none"/>
              </w:rPr>
            </w:pP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6CA59">
            <w:pPr>
              <w:jc w:val="left"/>
              <w:rPr>
                <w:rFonts w:hint="eastAsia" w:ascii="仿宋_GB2312" w:hAnsi="宋体" w:eastAsia="仿宋_GB2312" w:cs="仿宋_GB2312"/>
                <w:i w:val="0"/>
                <w:iCs w:val="0"/>
                <w:color w:val="000000"/>
                <w:sz w:val="22"/>
                <w:szCs w:val="22"/>
                <w:u w:val="none"/>
              </w:rPr>
            </w:pPr>
          </w:p>
        </w:tc>
        <w:tc>
          <w:tcPr>
            <w:tcW w:w="9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B1031">
            <w:pPr>
              <w:jc w:val="left"/>
              <w:rPr>
                <w:rFonts w:hint="eastAsia" w:ascii="仿宋_GB2312" w:hAnsi="宋体" w:eastAsia="仿宋_GB2312" w:cs="仿宋_GB2312"/>
                <w:i w:val="0"/>
                <w:iCs w:val="0"/>
                <w:color w:val="000000"/>
                <w:sz w:val="22"/>
                <w:szCs w:val="22"/>
                <w:u w:val="none"/>
              </w:rPr>
            </w:pPr>
          </w:p>
        </w:tc>
        <w:tc>
          <w:tcPr>
            <w:tcW w:w="10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ECC5E">
            <w:pPr>
              <w:jc w:val="left"/>
              <w:rPr>
                <w:rFonts w:hint="eastAsia" w:ascii="仿宋_GB2312" w:hAnsi="宋体" w:eastAsia="仿宋_GB2312" w:cs="仿宋_GB2312"/>
                <w:i w:val="0"/>
                <w:iCs w:val="0"/>
                <w:color w:val="000000"/>
                <w:sz w:val="22"/>
                <w:szCs w:val="22"/>
                <w:u w:val="none"/>
              </w:rPr>
            </w:pPr>
          </w:p>
        </w:tc>
      </w:tr>
      <w:tr w14:paraId="4BF07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0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07990">
            <w:pPr>
              <w:jc w:val="left"/>
              <w:rPr>
                <w:rFonts w:hint="eastAsia" w:ascii="仿宋_GB2312" w:hAnsi="宋体" w:eastAsia="仿宋_GB2312" w:cs="仿宋_GB2312"/>
                <w:i w:val="0"/>
                <w:iCs w:val="0"/>
                <w:color w:val="000000"/>
                <w:sz w:val="22"/>
                <w:szCs w:val="22"/>
                <w:u w:val="none"/>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1C387">
            <w:pPr>
              <w:jc w:val="left"/>
              <w:rPr>
                <w:rFonts w:hint="eastAsia" w:ascii="仿宋_GB2312" w:hAnsi="宋体" w:eastAsia="仿宋_GB2312" w:cs="仿宋_GB2312"/>
                <w:i w:val="0"/>
                <w:iCs w:val="0"/>
                <w:color w:val="000000"/>
                <w:sz w:val="22"/>
                <w:szCs w:val="22"/>
                <w:u w:val="none"/>
              </w:rPr>
            </w:pP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09F1E">
            <w:pPr>
              <w:jc w:val="left"/>
              <w:rPr>
                <w:rFonts w:hint="eastAsia" w:ascii="仿宋_GB2312" w:hAnsi="宋体" w:eastAsia="仿宋_GB2312" w:cs="仿宋_GB2312"/>
                <w:i w:val="0"/>
                <w:iCs w:val="0"/>
                <w:color w:val="000000"/>
                <w:sz w:val="22"/>
                <w:szCs w:val="22"/>
                <w:u w:val="none"/>
              </w:rPr>
            </w:pPr>
          </w:p>
        </w:tc>
        <w:tc>
          <w:tcPr>
            <w:tcW w:w="9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51B00">
            <w:pPr>
              <w:jc w:val="left"/>
              <w:rPr>
                <w:rFonts w:hint="eastAsia" w:ascii="仿宋_GB2312" w:hAnsi="宋体" w:eastAsia="仿宋_GB2312" w:cs="仿宋_GB2312"/>
                <w:i w:val="0"/>
                <w:iCs w:val="0"/>
                <w:color w:val="000000"/>
                <w:sz w:val="22"/>
                <w:szCs w:val="22"/>
                <w:u w:val="none"/>
              </w:rPr>
            </w:pPr>
          </w:p>
        </w:tc>
        <w:tc>
          <w:tcPr>
            <w:tcW w:w="10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87E5E">
            <w:pPr>
              <w:jc w:val="left"/>
              <w:rPr>
                <w:rFonts w:hint="eastAsia" w:ascii="仿宋_GB2312" w:hAnsi="宋体" w:eastAsia="仿宋_GB2312" w:cs="仿宋_GB2312"/>
                <w:i w:val="0"/>
                <w:iCs w:val="0"/>
                <w:color w:val="000000"/>
                <w:sz w:val="22"/>
                <w:szCs w:val="22"/>
                <w:u w:val="none"/>
              </w:rPr>
            </w:pPr>
          </w:p>
        </w:tc>
      </w:tr>
      <w:tr w14:paraId="20D10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0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20A6C">
            <w:pPr>
              <w:jc w:val="left"/>
              <w:rPr>
                <w:rFonts w:hint="eastAsia" w:ascii="仿宋_GB2312" w:hAnsi="宋体" w:eastAsia="仿宋_GB2312" w:cs="仿宋_GB2312"/>
                <w:i w:val="0"/>
                <w:iCs w:val="0"/>
                <w:color w:val="000000"/>
                <w:sz w:val="22"/>
                <w:szCs w:val="22"/>
                <w:u w:val="none"/>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584B8">
            <w:pPr>
              <w:jc w:val="left"/>
              <w:rPr>
                <w:rFonts w:hint="eastAsia" w:ascii="仿宋_GB2312" w:hAnsi="宋体" w:eastAsia="仿宋_GB2312" w:cs="仿宋_GB2312"/>
                <w:i w:val="0"/>
                <w:iCs w:val="0"/>
                <w:color w:val="000000"/>
                <w:sz w:val="22"/>
                <w:szCs w:val="22"/>
                <w:u w:val="none"/>
              </w:rPr>
            </w:pP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89146">
            <w:pPr>
              <w:jc w:val="left"/>
              <w:rPr>
                <w:rFonts w:hint="eastAsia" w:ascii="仿宋_GB2312" w:hAnsi="宋体" w:eastAsia="仿宋_GB2312" w:cs="仿宋_GB2312"/>
                <w:i w:val="0"/>
                <w:iCs w:val="0"/>
                <w:color w:val="000000"/>
                <w:sz w:val="22"/>
                <w:szCs w:val="22"/>
                <w:u w:val="none"/>
              </w:rPr>
            </w:pPr>
          </w:p>
        </w:tc>
        <w:tc>
          <w:tcPr>
            <w:tcW w:w="9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64E48">
            <w:pPr>
              <w:jc w:val="left"/>
              <w:rPr>
                <w:rFonts w:hint="eastAsia" w:ascii="仿宋_GB2312" w:hAnsi="宋体" w:eastAsia="仿宋_GB2312" w:cs="仿宋_GB2312"/>
                <w:i w:val="0"/>
                <w:iCs w:val="0"/>
                <w:color w:val="000000"/>
                <w:sz w:val="22"/>
                <w:szCs w:val="22"/>
                <w:u w:val="none"/>
              </w:rPr>
            </w:pPr>
          </w:p>
        </w:tc>
        <w:tc>
          <w:tcPr>
            <w:tcW w:w="10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680F5">
            <w:pPr>
              <w:jc w:val="left"/>
              <w:rPr>
                <w:rFonts w:hint="eastAsia" w:ascii="仿宋_GB2312" w:hAnsi="宋体" w:eastAsia="仿宋_GB2312" w:cs="仿宋_GB2312"/>
                <w:i w:val="0"/>
                <w:iCs w:val="0"/>
                <w:color w:val="000000"/>
                <w:sz w:val="22"/>
                <w:szCs w:val="22"/>
                <w:u w:val="none"/>
              </w:rPr>
            </w:pPr>
          </w:p>
        </w:tc>
      </w:tr>
      <w:tr w14:paraId="20AD4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0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371C6">
            <w:pPr>
              <w:jc w:val="left"/>
              <w:rPr>
                <w:rFonts w:hint="eastAsia" w:ascii="仿宋_GB2312" w:hAnsi="宋体" w:eastAsia="仿宋_GB2312" w:cs="仿宋_GB2312"/>
                <w:i w:val="0"/>
                <w:iCs w:val="0"/>
                <w:color w:val="000000"/>
                <w:sz w:val="22"/>
                <w:szCs w:val="22"/>
                <w:u w:val="none"/>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E8078">
            <w:pPr>
              <w:jc w:val="left"/>
              <w:rPr>
                <w:rFonts w:hint="eastAsia" w:ascii="仿宋_GB2312" w:hAnsi="宋体" w:eastAsia="仿宋_GB2312" w:cs="仿宋_GB2312"/>
                <w:i w:val="0"/>
                <w:iCs w:val="0"/>
                <w:color w:val="000000"/>
                <w:sz w:val="22"/>
                <w:szCs w:val="22"/>
                <w:u w:val="none"/>
              </w:rPr>
            </w:pPr>
          </w:p>
        </w:tc>
        <w:tc>
          <w:tcPr>
            <w:tcW w:w="8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1316A">
            <w:pPr>
              <w:jc w:val="left"/>
              <w:rPr>
                <w:rFonts w:hint="eastAsia" w:ascii="仿宋_GB2312" w:hAnsi="宋体" w:eastAsia="仿宋_GB2312" w:cs="仿宋_GB2312"/>
                <w:i w:val="0"/>
                <w:iCs w:val="0"/>
                <w:color w:val="000000"/>
                <w:sz w:val="22"/>
                <w:szCs w:val="22"/>
                <w:u w:val="none"/>
              </w:rPr>
            </w:pPr>
          </w:p>
        </w:tc>
        <w:tc>
          <w:tcPr>
            <w:tcW w:w="9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DBA17">
            <w:pPr>
              <w:jc w:val="left"/>
              <w:rPr>
                <w:rFonts w:hint="eastAsia" w:ascii="仿宋_GB2312" w:hAnsi="宋体" w:eastAsia="仿宋_GB2312" w:cs="仿宋_GB2312"/>
                <w:i w:val="0"/>
                <w:iCs w:val="0"/>
                <w:color w:val="000000"/>
                <w:sz w:val="22"/>
                <w:szCs w:val="22"/>
                <w:u w:val="none"/>
              </w:rPr>
            </w:pPr>
          </w:p>
        </w:tc>
        <w:tc>
          <w:tcPr>
            <w:tcW w:w="10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A4C80">
            <w:pPr>
              <w:jc w:val="left"/>
              <w:rPr>
                <w:rFonts w:hint="eastAsia" w:ascii="仿宋_GB2312" w:hAnsi="宋体" w:eastAsia="仿宋_GB2312" w:cs="仿宋_GB2312"/>
                <w:i w:val="0"/>
                <w:iCs w:val="0"/>
                <w:color w:val="000000"/>
                <w:sz w:val="22"/>
                <w:szCs w:val="22"/>
                <w:u w:val="none"/>
              </w:rPr>
            </w:pPr>
          </w:p>
        </w:tc>
      </w:tr>
      <w:tr w14:paraId="0DD18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000" w:type="pct"/>
            <w:gridSpan w:val="5"/>
            <w:tcBorders>
              <w:top w:val="nil"/>
              <w:left w:val="nil"/>
              <w:bottom w:val="nil"/>
              <w:right w:val="nil"/>
            </w:tcBorders>
            <w:shd w:val="clear" w:color="auto" w:fill="auto"/>
            <w:noWrap/>
            <w:vAlign w:val="center"/>
          </w:tcPr>
          <w:p w14:paraId="41488E09">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注：本表反映部门本年度国有资本经营预算财政拨款支出情况。</w:t>
            </w:r>
          </w:p>
        </w:tc>
      </w:tr>
      <w:tr w14:paraId="3616D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906" w:type="pct"/>
            <w:gridSpan w:val="4"/>
            <w:tcBorders>
              <w:top w:val="nil"/>
              <w:left w:val="nil"/>
              <w:bottom w:val="nil"/>
              <w:right w:val="nil"/>
            </w:tcBorders>
            <w:shd w:val="clear" w:color="auto" w:fill="auto"/>
            <w:noWrap/>
            <w:vAlign w:val="center"/>
          </w:tcPr>
          <w:p w14:paraId="52B34D98">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说明：我单位没有使用国有资本经营预算安排的支出，故本表无数据。</w:t>
            </w:r>
          </w:p>
        </w:tc>
        <w:tc>
          <w:tcPr>
            <w:tcW w:w="1093" w:type="pct"/>
            <w:tcBorders>
              <w:top w:val="nil"/>
              <w:left w:val="nil"/>
              <w:bottom w:val="nil"/>
              <w:right w:val="nil"/>
            </w:tcBorders>
            <w:shd w:val="clear" w:color="auto" w:fill="auto"/>
            <w:noWrap/>
            <w:vAlign w:val="center"/>
          </w:tcPr>
          <w:p w14:paraId="49D68DCD">
            <w:pPr>
              <w:rPr>
                <w:rFonts w:hint="eastAsia" w:ascii="宋体" w:hAnsi="宋体" w:eastAsia="宋体" w:cs="宋体"/>
                <w:i w:val="0"/>
                <w:iCs w:val="0"/>
                <w:color w:val="000000"/>
                <w:sz w:val="22"/>
                <w:szCs w:val="22"/>
                <w:u w:val="none"/>
              </w:rPr>
            </w:pPr>
          </w:p>
        </w:tc>
      </w:tr>
    </w:tbl>
    <w:p w14:paraId="760E66D2"/>
    <w:p w14:paraId="3D46C31D">
      <w:pPr>
        <w:widowControl/>
        <w:spacing w:line="400" w:lineRule="exact"/>
        <w:textAlignment w:val="center"/>
        <w:rPr>
          <w:rFonts w:ascii="Times New Roman" w:hAnsi="Times New Roman" w:eastAsia="黑体" w:cs="Times New Roman"/>
          <w:color w:val="000000"/>
          <w:kern w:val="0"/>
          <w:sz w:val="36"/>
          <w:szCs w:val="36"/>
          <w:lang w:bidi="ar"/>
        </w:rPr>
      </w:pPr>
    </w:p>
    <w:p w14:paraId="3C52DF49">
      <w:pPr>
        <w:widowControl/>
        <w:jc w:val="center"/>
        <w:rPr>
          <w:rFonts w:ascii="Times New Roman" w:hAnsi="Times New Roman" w:eastAsia="方正小标宋_GBK" w:cs="Times New Roman"/>
          <w:color w:val="000000"/>
          <w:kern w:val="0"/>
          <w:sz w:val="36"/>
          <w:szCs w:val="36"/>
        </w:rPr>
      </w:pPr>
    </w:p>
    <w:p w14:paraId="3A763E81">
      <w:pPr>
        <w:pStyle w:val="2"/>
        <w:rPr>
          <w:rFonts w:ascii="Times New Roman" w:hAnsi="Times New Roman" w:eastAsia="方正小标宋_GBK" w:cs="Times New Roman"/>
          <w:color w:val="000000"/>
          <w:kern w:val="0"/>
          <w:sz w:val="36"/>
          <w:szCs w:val="36"/>
        </w:rPr>
      </w:pPr>
    </w:p>
    <w:p w14:paraId="6BC3686F">
      <w:pPr>
        <w:pStyle w:val="3"/>
        <w:rPr>
          <w:rFonts w:ascii="Times New Roman" w:hAnsi="Times New Roman" w:eastAsia="方正小标宋_GBK" w:cs="Times New Roman"/>
          <w:color w:val="000000"/>
          <w:kern w:val="0"/>
          <w:sz w:val="36"/>
          <w:szCs w:val="36"/>
        </w:rPr>
      </w:pPr>
    </w:p>
    <w:p w14:paraId="28B3A012">
      <w:pPr>
        <w:pStyle w:val="3"/>
        <w:ind w:left="0" w:leftChars="0" w:firstLine="0" w:firstLineChars="0"/>
        <w:rPr>
          <w:rFonts w:ascii="Times New Roman" w:hAnsi="Times New Roman" w:eastAsia="方正小标宋_GBK" w:cs="Times New Roman"/>
          <w:color w:val="000000"/>
          <w:kern w:val="0"/>
          <w:sz w:val="36"/>
          <w:szCs w:val="36"/>
        </w:rPr>
      </w:pPr>
    </w:p>
    <w:p w14:paraId="3BE1B2A3">
      <w:pPr>
        <w:pStyle w:val="3"/>
        <w:ind w:left="0" w:leftChars="0" w:firstLine="0" w:firstLineChars="0"/>
        <w:jc w:val="both"/>
        <w:rPr>
          <w:rFonts w:ascii="Times New Roman" w:hAnsi="Times New Roman" w:eastAsia="方正小标宋_GBK" w:cs="Times New Roman"/>
          <w:color w:val="000000"/>
          <w:kern w:val="0"/>
          <w:sz w:val="36"/>
          <w:szCs w:val="36"/>
        </w:rPr>
      </w:pP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00"/>
        <w:gridCol w:w="1209"/>
        <w:gridCol w:w="1227"/>
        <w:gridCol w:w="1209"/>
        <w:gridCol w:w="1325"/>
        <w:gridCol w:w="1381"/>
        <w:gridCol w:w="1115"/>
        <w:gridCol w:w="1209"/>
        <w:gridCol w:w="1212"/>
        <w:gridCol w:w="1218"/>
        <w:gridCol w:w="1355"/>
        <w:gridCol w:w="1326"/>
      </w:tblGrid>
      <w:tr w14:paraId="1BACD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000" w:type="pct"/>
            <w:gridSpan w:val="12"/>
            <w:tcBorders>
              <w:top w:val="nil"/>
              <w:left w:val="nil"/>
              <w:bottom w:val="nil"/>
              <w:right w:val="nil"/>
            </w:tcBorders>
            <w:shd w:val="clear" w:color="auto" w:fill="auto"/>
            <w:noWrap/>
            <w:vAlign w:val="center"/>
          </w:tcPr>
          <w:p w14:paraId="3ECFA70F">
            <w:pPr>
              <w:keepNext w:val="0"/>
              <w:keepLines w:val="0"/>
              <w:widowControl/>
              <w:suppressLineNumbers w:val="0"/>
              <w:jc w:val="center"/>
              <w:textAlignment w:val="center"/>
              <w:rPr>
                <w:rFonts w:ascii="黑体" w:hAnsi="宋体" w:eastAsia="黑体" w:cs="黑体"/>
                <w:i w:val="0"/>
                <w:iCs w:val="0"/>
                <w:color w:val="000000"/>
                <w:sz w:val="36"/>
                <w:szCs w:val="36"/>
                <w:u w:val="none"/>
              </w:rPr>
            </w:pPr>
            <w:r>
              <w:rPr>
                <w:rFonts w:hint="eastAsia" w:ascii="黑体" w:hAnsi="宋体" w:eastAsia="黑体" w:cs="黑体"/>
                <w:i w:val="0"/>
                <w:iCs w:val="0"/>
                <w:color w:val="000000"/>
                <w:kern w:val="0"/>
                <w:sz w:val="36"/>
                <w:szCs w:val="36"/>
                <w:u w:val="none"/>
                <w:lang w:val="en-US" w:eastAsia="zh-CN" w:bidi="ar"/>
              </w:rPr>
              <w:t>财政拨款“三公”经费支出决算表</w:t>
            </w:r>
          </w:p>
        </w:tc>
      </w:tr>
      <w:tr w14:paraId="22032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38" w:type="pct"/>
            <w:tcBorders>
              <w:top w:val="nil"/>
              <w:left w:val="nil"/>
              <w:bottom w:val="nil"/>
              <w:right w:val="nil"/>
            </w:tcBorders>
            <w:shd w:val="clear" w:color="auto" w:fill="auto"/>
            <w:noWrap/>
            <w:vAlign w:val="center"/>
          </w:tcPr>
          <w:p w14:paraId="6C694B54">
            <w:pPr>
              <w:rPr>
                <w:rFonts w:hint="eastAsia" w:ascii="仿宋_GB2312" w:hAnsi="宋体" w:eastAsia="仿宋_GB2312" w:cs="仿宋_GB2312"/>
                <w:i w:val="0"/>
                <w:iCs w:val="0"/>
                <w:color w:val="000000"/>
                <w:sz w:val="20"/>
                <w:szCs w:val="20"/>
                <w:u w:val="none"/>
              </w:rPr>
            </w:pPr>
          </w:p>
        </w:tc>
        <w:tc>
          <w:tcPr>
            <w:tcW w:w="409" w:type="pct"/>
            <w:tcBorders>
              <w:top w:val="nil"/>
              <w:left w:val="nil"/>
              <w:bottom w:val="nil"/>
              <w:right w:val="nil"/>
            </w:tcBorders>
            <w:shd w:val="clear" w:color="auto" w:fill="auto"/>
            <w:noWrap/>
            <w:vAlign w:val="center"/>
          </w:tcPr>
          <w:p w14:paraId="0D0C2498">
            <w:pPr>
              <w:rPr>
                <w:rFonts w:hint="eastAsia" w:ascii="仿宋_GB2312" w:hAnsi="宋体" w:eastAsia="仿宋_GB2312" w:cs="仿宋_GB2312"/>
                <w:i w:val="0"/>
                <w:iCs w:val="0"/>
                <w:color w:val="000000"/>
                <w:sz w:val="20"/>
                <w:szCs w:val="20"/>
                <w:u w:val="none"/>
              </w:rPr>
            </w:pPr>
          </w:p>
        </w:tc>
        <w:tc>
          <w:tcPr>
            <w:tcW w:w="413" w:type="pct"/>
            <w:tcBorders>
              <w:top w:val="nil"/>
              <w:left w:val="nil"/>
              <w:bottom w:val="nil"/>
              <w:right w:val="nil"/>
            </w:tcBorders>
            <w:shd w:val="clear" w:color="auto" w:fill="auto"/>
            <w:noWrap/>
            <w:vAlign w:val="center"/>
          </w:tcPr>
          <w:p w14:paraId="6473FB71">
            <w:pPr>
              <w:rPr>
                <w:rFonts w:hint="eastAsia" w:ascii="仿宋_GB2312" w:hAnsi="宋体" w:eastAsia="仿宋_GB2312" w:cs="仿宋_GB2312"/>
                <w:i w:val="0"/>
                <w:iCs w:val="0"/>
                <w:color w:val="000000"/>
                <w:sz w:val="20"/>
                <w:szCs w:val="20"/>
                <w:u w:val="none"/>
              </w:rPr>
            </w:pPr>
          </w:p>
        </w:tc>
        <w:tc>
          <w:tcPr>
            <w:tcW w:w="409" w:type="pct"/>
            <w:tcBorders>
              <w:top w:val="nil"/>
              <w:left w:val="nil"/>
              <w:bottom w:val="nil"/>
              <w:right w:val="nil"/>
            </w:tcBorders>
            <w:shd w:val="clear" w:color="auto" w:fill="auto"/>
            <w:noWrap/>
            <w:vAlign w:val="center"/>
          </w:tcPr>
          <w:p w14:paraId="13D0A080">
            <w:pPr>
              <w:rPr>
                <w:rFonts w:hint="eastAsia" w:ascii="仿宋_GB2312" w:hAnsi="宋体" w:eastAsia="仿宋_GB2312" w:cs="仿宋_GB2312"/>
                <w:i w:val="0"/>
                <w:iCs w:val="0"/>
                <w:color w:val="000000"/>
                <w:sz w:val="20"/>
                <w:szCs w:val="20"/>
                <w:u w:val="none"/>
              </w:rPr>
            </w:pPr>
          </w:p>
        </w:tc>
        <w:tc>
          <w:tcPr>
            <w:tcW w:w="448" w:type="pct"/>
            <w:tcBorders>
              <w:top w:val="nil"/>
              <w:left w:val="nil"/>
              <w:bottom w:val="nil"/>
              <w:right w:val="nil"/>
            </w:tcBorders>
            <w:shd w:val="clear" w:color="auto" w:fill="auto"/>
            <w:noWrap/>
            <w:vAlign w:val="center"/>
          </w:tcPr>
          <w:p w14:paraId="1A62BF35">
            <w:pPr>
              <w:rPr>
                <w:rFonts w:hint="eastAsia" w:ascii="仿宋_GB2312" w:hAnsi="宋体" w:eastAsia="仿宋_GB2312" w:cs="仿宋_GB2312"/>
                <w:i w:val="0"/>
                <w:iCs w:val="0"/>
                <w:color w:val="000000"/>
                <w:sz w:val="20"/>
                <w:szCs w:val="20"/>
                <w:u w:val="none"/>
              </w:rPr>
            </w:pPr>
          </w:p>
        </w:tc>
        <w:tc>
          <w:tcPr>
            <w:tcW w:w="465" w:type="pct"/>
            <w:tcBorders>
              <w:top w:val="nil"/>
              <w:left w:val="nil"/>
              <w:bottom w:val="nil"/>
              <w:right w:val="nil"/>
            </w:tcBorders>
            <w:shd w:val="clear" w:color="auto" w:fill="auto"/>
            <w:noWrap/>
            <w:vAlign w:val="center"/>
          </w:tcPr>
          <w:p w14:paraId="125B67AF">
            <w:pPr>
              <w:rPr>
                <w:rFonts w:hint="eastAsia" w:ascii="仿宋_GB2312" w:hAnsi="宋体" w:eastAsia="仿宋_GB2312" w:cs="仿宋_GB2312"/>
                <w:i w:val="0"/>
                <w:iCs w:val="0"/>
                <w:color w:val="000000"/>
                <w:sz w:val="20"/>
                <w:szCs w:val="20"/>
                <w:u w:val="none"/>
              </w:rPr>
            </w:pPr>
          </w:p>
        </w:tc>
        <w:tc>
          <w:tcPr>
            <w:tcW w:w="377" w:type="pct"/>
            <w:tcBorders>
              <w:top w:val="nil"/>
              <w:left w:val="nil"/>
              <w:bottom w:val="nil"/>
              <w:right w:val="nil"/>
            </w:tcBorders>
            <w:shd w:val="clear" w:color="auto" w:fill="auto"/>
            <w:noWrap/>
            <w:vAlign w:val="center"/>
          </w:tcPr>
          <w:p w14:paraId="18AE89C4">
            <w:pPr>
              <w:rPr>
                <w:rFonts w:hint="eastAsia" w:ascii="仿宋_GB2312" w:hAnsi="宋体" w:eastAsia="仿宋_GB2312" w:cs="仿宋_GB2312"/>
                <w:i w:val="0"/>
                <w:iCs w:val="0"/>
                <w:color w:val="000000"/>
                <w:sz w:val="20"/>
                <w:szCs w:val="20"/>
                <w:u w:val="none"/>
              </w:rPr>
            </w:pPr>
          </w:p>
        </w:tc>
        <w:tc>
          <w:tcPr>
            <w:tcW w:w="409" w:type="pct"/>
            <w:tcBorders>
              <w:top w:val="nil"/>
              <w:left w:val="nil"/>
              <w:bottom w:val="nil"/>
              <w:right w:val="nil"/>
            </w:tcBorders>
            <w:shd w:val="clear" w:color="auto" w:fill="auto"/>
            <w:noWrap/>
            <w:vAlign w:val="center"/>
          </w:tcPr>
          <w:p w14:paraId="5D51F6BF">
            <w:pPr>
              <w:rPr>
                <w:rFonts w:hint="eastAsia" w:ascii="仿宋_GB2312" w:hAnsi="宋体" w:eastAsia="仿宋_GB2312" w:cs="仿宋_GB2312"/>
                <w:i w:val="0"/>
                <w:iCs w:val="0"/>
                <w:color w:val="000000"/>
                <w:sz w:val="20"/>
                <w:szCs w:val="20"/>
                <w:u w:val="none"/>
              </w:rPr>
            </w:pPr>
          </w:p>
        </w:tc>
        <w:tc>
          <w:tcPr>
            <w:tcW w:w="410" w:type="pct"/>
            <w:tcBorders>
              <w:top w:val="nil"/>
              <w:left w:val="nil"/>
              <w:bottom w:val="nil"/>
              <w:right w:val="nil"/>
            </w:tcBorders>
            <w:shd w:val="clear" w:color="auto" w:fill="auto"/>
            <w:noWrap/>
            <w:vAlign w:val="center"/>
          </w:tcPr>
          <w:p w14:paraId="75E769A6">
            <w:pPr>
              <w:rPr>
                <w:rFonts w:hint="eastAsia" w:ascii="仿宋_GB2312" w:hAnsi="宋体" w:eastAsia="仿宋_GB2312" w:cs="仿宋_GB2312"/>
                <w:i w:val="0"/>
                <w:iCs w:val="0"/>
                <w:color w:val="000000"/>
                <w:sz w:val="20"/>
                <w:szCs w:val="20"/>
                <w:u w:val="none"/>
              </w:rPr>
            </w:pPr>
          </w:p>
        </w:tc>
        <w:tc>
          <w:tcPr>
            <w:tcW w:w="412" w:type="pct"/>
            <w:tcBorders>
              <w:top w:val="nil"/>
              <w:left w:val="nil"/>
              <w:bottom w:val="nil"/>
              <w:right w:val="nil"/>
            </w:tcBorders>
            <w:shd w:val="clear" w:color="auto" w:fill="auto"/>
            <w:noWrap/>
            <w:vAlign w:val="center"/>
          </w:tcPr>
          <w:p w14:paraId="544BFB10">
            <w:pPr>
              <w:rPr>
                <w:rFonts w:hint="eastAsia" w:ascii="仿宋_GB2312" w:hAnsi="宋体" w:eastAsia="仿宋_GB2312" w:cs="仿宋_GB2312"/>
                <w:i w:val="0"/>
                <w:iCs w:val="0"/>
                <w:color w:val="000000"/>
                <w:sz w:val="20"/>
                <w:szCs w:val="20"/>
                <w:u w:val="none"/>
              </w:rPr>
            </w:pPr>
          </w:p>
        </w:tc>
        <w:tc>
          <w:tcPr>
            <w:tcW w:w="457" w:type="pct"/>
            <w:tcBorders>
              <w:top w:val="nil"/>
              <w:left w:val="nil"/>
              <w:bottom w:val="nil"/>
              <w:right w:val="nil"/>
            </w:tcBorders>
            <w:shd w:val="clear" w:color="auto" w:fill="auto"/>
            <w:noWrap/>
            <w:vAlign w:val="center"/>
          </w:tcPr>
          <w:p w14:paraId="0017E39A">
            <w:pPr>
              <w:rPr>
                <w:rFonts w:hint="eastAsia" w:ascii="仿宋_GB2312" w:hAnsi="宋体" w:eastAsia="仿宋_GB2312" w:cs="仿宋_GB2312"/>
                <w:i w:val="0"/>
                <w:iCs w:val="0"/>
                <w:color w:val="000000"/>
                <w:sz w:val="20"/>
                <w:szCs w:val="20"/>
                <w:u w:val="none"/>
              </w:rPr>
            </w:pPr>
          </w:p>
        </w:tc>
        <w:tc>
          <w:tcPr>
            <w:tcW w:w="445" w:type="pct"/>
            <w:tcBorders>
              <w:top w:val="nil"/>
              <w:left w:val="nil"/>
              <w:bottom w:val="nil"/>
              <w:right w:val="nil"/>
            </w:tcBorders>
            <w:shd w:val="clear" w:color="auto" w:fill="auto"/>
            <w:noWrap/>
            <w:vAlign w:val="bottom"/>
          </w:tcPr>
          <w:p w14:paraId="25664BFA">
            <w:pPr>
              <w:keepNext w:val="0"/>
              <w:keepLines w:val="0"/>
              <w:widowControl/>
              <w:suppressLineNumbers w:val="0"/>
              <w:jc w:val="left"/>
              <w:textAlignment w:val="bottom"/>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公开09表</w:t>
            </w:r>
          </w:p>
        </w:tc>
      </w:tr>
      <w:tr w14:paraId="36DA0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162" w:type="pct"/>
            <w:gridSpan w:val="3"/>
            <w:tcBorders>
              <w:top w:val="nil"/>
              <w:left w:val="nil"/>
              <w:bottom w:val="nil"/>
              <w:right w:val="nil"/>
            </w:tcBorders>
            <w:shd w:val="clear" w:color="auto" w:fill="auto"/>
            <w:noWrap/>
            <w:vAlign w:val="center"/>
          </w:tcPr>
          <w:p w14:paraId="45B20299">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单位：湖南省知识产权保护中心</w:t>
            </w:r>
          </w:p>
        </w:tc>
        <w:tc>
          <w:tcPr>
            <w:tcW w:w="409" w:type="pct"/>
            <w:tcBorders>
              <w:top w:val="nil"/>
              <w:left w:val="nil"/>
              <w:bottom w:val="nil"/>
              <w:right w:val="nil"/>
            </w:tcBorders>
            <w:shd w:val="clear" w:color="auto" w:fill="auto"/>
            <w:noWrap/>
            <w:vAlign w:val="center"/>
          </w:tcPr>
          <w:p w14:paraId="5107706C">
            <w:pPr>
              <w:rPr>
                <w:rFonts w:hint="eastAsia" w:ascii="仿宋_GB2312" w:hAnsi="宋体" w:eastAsia="仿宋_GB2312" w:cs="仿宋_GB2312"/>
                <w:i w:val="0"/>
                <w:iCs w:val="0"/>
                <w:color w:val="000000"/>
                <w:sz w:val="20"/>
                <w:szCs w:val="20"/>
                <w:u w:val="none"/>
              </w:rPr>
            </w:pPr>
          </w:p>
        </w:tc>
        <w:tc>
          <w:tcPr>
            <w:tcW w:w="448" w:type="pct"/>
            <w:tcBorders>
              <w:top w:val="nil"/>
              <w:left w:val="nil"/>
              <w:bottom w:val="nil"/>
              <w:right w:val="nil"/>
            </w:tcBorders>
            <w:shd w:val="clear" w:color="auto" w:fill="auto"/>
            <w:noWrap/>
            <w:vAlign w:val="center"/>
          </w:tcPr>
          <w:p w14:paraId="0E01D0E5">
            <w:pPr>
              <w:rPr>
                <w:rFonts w:hint="eastAsia" w:ascii="仿宋_GB2312" w:hAnsi="宋体" w:eastAsia="仿宋_GB2312" w:cs="仿宋_GB2312"/>
                <w:i w:val="0"/>
                <w:iCs w:val="0"/>
                <w:color w:val="000000"/>
                <w:sz w:val="20"/>
                <w:szCs w:val="20"/>
                <w:u w:val="none"/>
              </w:rPr>
            </w:pPr>
          </w:p>
        </w:tc>
        <w:tc>
          <w:tcPr>
            <w:tcW w:w="465" w:type="pct"/>
            <w:tcBorders>
              <w:top w:val="nil"/>
              <w:left w:val="nil"/>
              <w:bottom w:val="nil"/>
              <w:right w:val="nil"/>
            </w:tcBorders>
            <w:shd w:val="clear" w:color="auto" w:fill="auto"/>
            <w:noWrap/>
            <w:vAlign w:val="center"/>
          </w:tcPr>
          <w:p w14:paraId="58F3264E">
            <w:pPr>
              <w:rPr>
                <w:rFonts w:hint="eastAsia" w:ascii="仿宋_GB2312" w:hAnsi="宋体" w:eastAsia="仿宋_GB2312" w:cs="仿宋_GB2312"/>
                <w:i w:val="0"/>
                <w:iCs w:val="0"/>
                <w:color w:val="000000"/>
                <w:sz w:val="20"/>
                <w:szCs w:val="20"/>
                <w:u w:val="none"/>
              </w:rPr>
            </w:pPr>
          </w:p>
        </w:tc>
        <w:tc>
          <w:tcPr>
            <w:tcW w:w="377" w:type="pct"/>
            <w:tcBorders>
              <w:top w:val="nil"/>
              <w:left w:val="nil"/>
              <w:bottom w:val="nil"/>
              <w:right w:val="nil"/>
            </w:tcBorders>
            <w:shd w:val="clear" w:color="auto" w:fill="auto"/>
            <w:noWrap/>
            <w:vAlign w:val="center"/>
          </w:tcPr>
          <w:p w14:paraId="0D189C3C">
            <w:pPr>
              <w:rPr>
                <w:rFonts w:hint="eastAsia" w:ascii="仿宋_GB2312" w:hAnsi="宋体" w:eastAsia="仿宋_GB2312" w:cs="仿宋_GB2312"/>
                <w:i w:val="0"/>
                <w:iCs w:val="0"/>
                <w:color w:val="000000"/>
                <w:sz w:val="20"/>
                <w:szCs w:val="20"/>
                <w:u w:val="none"/>
              </w:rPr>
            </w:pPr>
          </w:p>
        </w:tc>
        <w:tc>
          <w:tcPr>
            <w:tcW w:w="409" w:type="pct"/>
            <w:tcBorders>
              <w:top w:val="nil"/>
              <w:left w:val="nil"/>
              <w:bottom w:val="nil"/>
              <w:right w:val="nil"/>
            </w:tcBorders>
            <w:shd w:val="clear" w:color="auto" w:fill="auto"/>
            <w:noWrap/>
            <w:vAlign w:val="center"/>
          </w:tcPr>
          <w:p w14:paraId="71B8EED0">
            <w:pPr>
              <w:rPr>
                <w:rFonts w:hint="eastAsia" w:ascii="仿宋_GB2312" w:hAnsi="宋体" w:eastAsia="仿宋_GB2312" w:cs="仿宋_GB2312"/>
                <w:i w:val="0"/>
                <w:iCs w:val="0"/>
                <w:color w:val="000000"/>
                <w:sz w:val="20"/>
                <w:szCs w:val="20"/>
                <w:u w:val="none"/>
              </w:rPr>
            </w:pPr>
          </w:p>
        </w:tc>
        <w:tc>
          <w:tcPr>
            <w:tcW w:w="410" w:type="pct"/>
            <w:tcBorders>
              <w:top w:val="nil"/>
              <w:left w:val="nil"/>
              <w:bottom w:val="nil"/>
              <w:right w:val="nil"/>
            </w:tcBorders>
            <w:shd w:val="clear" w:color="auto" w:fill="auto"/>
            <w:noWrap/>
            <w:vAlign w:val="center"/>
          </w:tcPr>
          <w:p w14:paraId="4995E363">
            <w:pPr>
              <w:rPr>
                <w:rFonts w:hint="eastAsia" w:ascii="仿宋_GB2312" w:hAnsi="宋体" w:eastAsia="仿宋_GB2312" w:cs="仿宋_GB2312"/>
                <w:i w:val="0"/>
                <w:iCs w:val="0"/>
                <w:color w:val="000000"/>
                <w:sz w:val="20"/>
                <w:szCs w:val="20"/>
                <w:u w:val="none"/>
              </w:rPr>
            </w:pPr>
          </w:p>
        </w:tc>
        <w:tc>
          <w:tcPr>
            <w:tcW w:w="412" w:type="pct"/>
            <w:tcBorders>
              <w:top w:val="nil"/>
              <w:left w:val="nil"/>
              <w:bottom w:val="nil"/>
              <w:right w:val="nil"/>
            </w:tcBorders>
            <w:shd w:val="clear" w:color="auto" w:fill="auto"/>
            <w:noWrap/>
            <w:vAlign w:val="center"/>
          </w:tcPr>
          <w:p w14:paraId="08413755">
            <w:pPr>
              <w:rPr>
                <w:rFonts w:hint="eastAsia" w:ascii="仿宋_GB2312" w:hAnsi="宋体" w:eastAsia="仿宋_GB2312" w:cs="仿宋_GB2312"/>
                <w:i w:val="0"/>
                <w:iCs w:val="0"/>
                <w:color w:val="000000"/>
                <w:sz w:val="20"/>
                <w:szCs w:val="20"/>
                <w:u w:val="none"/>
              </w:rPr>
            </w:pPr>
          </w:p>
        </w:tc>
        <w:tc>
          <w:tcPr>
            <w:tcW w:w="457" w:type="pct"/>
            <w:tcBorders>
              <w:top w:val="nil"/>
              <w:left w:val="nil"/>
              <w:bottom w:val="nil"/>
              <w:right w:val="nil"/>
            </w:tcBorders>
            <w:shd w:val="clear" w:color="auto" w:fill="auto"/>
            <w:noWrap/>
            <w:vAlign w:val="center"/>
          </w:tcPr>
          <w:p w14:paraId="1F1E6D2D">
            <w:pPr>
              <w:rPr>
                <w:rFonts w:hint="eastAsia" w:ascii="仿宋_GB2312" w:hAnsi="宋体" w:eastAsia="仿宋_GB2312" w:cs="仿宋_GB2312"/>
                <w:i w:val="0"/>
                <w:iCs w:val="0"/>
                <w:color w:val="000000"/>
                <w:sz w:val="20"/>
                <w:szCs w:val="20"/>
                <w:u w:val="none"/>
              </w:rPr>
            </w:pPr>
          </w:p>
        </w:tc>
        <w:tc>
          <w:tcPr>
            <w:tcW w:w="445" w:type="pct"/>
            <w:tcBorders>
              <w:top w:val="nil"/>
              <w:left w:val="nil"/>
              <w:bottom w:val="nil"/>
              <w:right w:val="nil"/>
            </w:tcBorders>
            <w:shd w:val="clear" w:color="auto" w:fill="auto"/>
            <w:noWrap/>
            <w:vAlign w:val="center"/>
          </w:tcPr>
          <w:p w14:paraId="76561457">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单位：万元</w:t>
            </w:r>
          </w:p>
        </w:tc>
      </w:tr>
      <w:tr w14:paraId="1D3FB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486"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5ADD902">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预算数</w:t>
            </w:r>
          </w:p>
        </w:tc>
        <w:tc>
          <w:tcPr>
            <w:tcW w:w="2513"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4B923A1">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决算数</w:t>
            </w:r>
          </w:p>
        </w:tc>
      </w:tr>
      <w:tr w14:paraId="1B20A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3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9AA8C1">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合计</w:t>
            </w:r>
          </w:p>
        </w:tc>
        <w:tc>
          <w:tcPr>
            <w:tcW w:w="4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6C069A">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因公出国（境）费</w:t>
            </w:r>
          </w:p>
        </w:tc>
        <w:tc>
          <w:tcPr>
            <w:tcW w:w="127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F94B35">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公务用车购置及运行维护费</w:t>
            </w:r>
          </w:p>
        </w:tc>
        <w:tc>
          <w:tcPr>
            <w:tcW w:w="46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A10832">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公务接待费</w:t>
            </w:r>
          </w:p>
        </w:tc>
        <w:tc>
          <w:tcPr>
            <w:tcW w:w="3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1DCF90">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合计</w:t>
            </w:r>
          </w:p>
        </w:tc>
        <w:tc>
          <w:tcPr>
            <w:tcW w:w="4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3D3CA7">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因公出国（境）费</w:t>
            </w:r>
          </w:p>
        </w:tc>
        <w:tc>
          <w:tcPr>
            <w:tcW w:w="128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D1FB74">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公务用车购置及运行维护费</w:t>
            </w:r>
          </w:p>
        </w:tc>
        <w:tc>
          <w:tcPr>
            <w:tcW w:w="4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EAF8AD">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公务接待费</w:t>
            </w:r>
          </w:p>
        </w:tc>
      </w:tr>
      <w:tr w14:paraId="37C45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3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897E61">
            <w:pPr>
              <w:jc w:val="center"/>
              <w:rPr>
                <w:rFonts w:hint="eastAsia" w:ascii="仿宋_GB2312" w:hAnsi="宋体" w:eastAsia="仿宋_GB2312" w:cs="仿宋_GB2312"/>
                <w:b/>
                <w:bCs/>
                <w:i w:val="0"/>
                <w:iCs w:val="0"/>
                <w:color w:val="000000"/>
                <w:sz w:val="22"/>
                <w:szCs w:val="22"/>
                <w:u w:val="none"/>
              </w:rPr>
            </w:pPr>
          </w:p>
        </w:tc>
        <w:tc>
          <w:tcPr>
            <w:tcW w:w="4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E24875">
            <w:pPr>
              <w:jc w:val="center"/>
              <w:rPr>
                <w:rFonts w:hint="eastAsia" w:ascii="仿宋_GB2312" w:hAnsi="宋体" w:eastAsia="仿宋_GB2312" w:cs="仿宋_GB2312"/>
                <w:b/>
                <w:bCs/>
                <w:i w:val="0"/>
                <w:iCs w:val="0"/>
                <w:color w:val="000000"/>
                <w:sz w:val="22"/>
                <w:szCs w:val="22"/>
                <w:u w:val="none"/>
              </w:rPr>
            </w:pP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3BAE4">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小计</w:t>
            </w: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08A504">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公务用车购置费</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FCF88">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公务用车运行维护费</w:t>
            </w:r>
          </w:p>
        </w:tc>
        <w:tc>
          <w:tcPr>
            <w:tcW w:w="4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6A1BAF">
            <w:pPr>
              <w:jc w:val="center"/>
              <w:rPr>
                <w:rFonts w:hint="eastAsia" w:ascii="仿宋_GB2312" w:hAnsi="宋体" w:eastAsia="仿宋_GB2312" w:cs="仿宋_GB2312"/>
                <w:b/>
                <w:bCs/>
                <w:i w:val="0"/>
                <w:iCs w:val="0"/>
                <w:color w:val="000000"/>
                <w:sz w:val="22"/>
                <w:szCs w:val="22"/>
                <w:u w:val="none"/>
              </w:rPr>
            </w:pPr>
          </w:p>
        </w:tc>
        <w:tc>
          <w:tcPr>
            <w:tcW w:w="3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6A49F1">
            <w:pPr>
              <w:jc w:val="center"/>
              <w:rPr>
                <w:rFonts w:hint="eastAsia" w:ascii="仿宋_GB2312" w:hAnsi="宋体" w:eastAsia="仿宋_GB2312" w:cs="仿宋_GB2312"/>
                <w:b/>
                <w:bCs/>
                <w:i w:val="0"/>
                <w:iCs w:val="0"/>
                <w:color w:val="000000"/>
                <w:sz w:val="22"/>
                <w:szCs w:val="22"/>
                <w:u w:val="none"/>
              </w:rPr>
            </w:pPr>
          </w:p>
        </w:tc>
        <w:tc>
          <w:tcPr>
            <w:tcW w:w="4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405864">
            <w:pPr>
              <w:jc w:val="center"/>
              <w:rPr>
                <w:rFonts w:hint="eastAsia" w:ascii="仿宋_GB2312" w:hAnsi="宋体" w:eastAsia="仿宋_GB2312" w:cs="仿宋_GB2312"/>
                <w:b/>
                <w:bCs/>
                <w:i w:val="0"/>
                <w:iCs w:val="0"/>
                <w:color w:val="000000"/>
                <w:sz w:val="22"/>
                <w:szCs w:val="22"/>
                <w:u w:val="none"/>
              </w:rPr>
            </w:pPr>
          </w:p>
        </w:tc>
        <w:tc>
          <w:tcPr>
            <w:tcW w:w="4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747CF">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小计</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D4189">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公务用车购置费</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F98706">
            <w:pPr>
              <w:keepNext w:val="0"/>
              <w:keepLines w:val="0"/>
              <w:widowControl/>
              <w:suppressLineNumbers w:val="0"/>
              <w:jc w:val="center"/>
              <w:textAlignment w:val="center"/>
              <w:rPr>
                <w:rFonts w:hint="eastAsia" w:ascii="仿宋_GB2312" w:hAnsi="宋体" w:eastAsia="仿宋_GB2312" w:cs="仿宋_GB2312"/>
                <w:b/>
                <w:bCs/>
                <w:i w:val="0"/>
                <w:iCs w:val="0"/>
                <w:color w:val="000000"/>
                <w:sz w:val="22"/>
                <w:szCs w:val="22"/>
                <w:u w:val="none"/>
              </w:rPr>
            </w:pPr>
            <w:r>
              <w:rPr>
                <w:rFonts w:hint="eastAsia" w:ascii="仿宋_GB2312" w:hAnsi="宋体" w:eastAsia="仿宋_GB2312" w:cs="仿宋_GB2312"/>
                <w:b/>
                <w:bCs/>
                <w:i w:val="0"/>
                <w:iCs w:val="0"/>
                <w:color w:val="000000"/>
                <w:kern w:val="0"/>
                <w:sz w:val="22"/>
                <w:szCs w:val="22"/>
                <w:u w:val="none"/>
                <w:lang w:val="en-US" w:eastAsia="zh-CN" w:bidi="ar"/>
              </w:rPr>
              <w:t>公务用车运行维护费</w:t>
            </w:r>
          </w:p>
        </w:tc>
        <w:tc>
          <w:tcPr>
            <w:tcW w:w="4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B5871D">
            <w:pPr>
              <w:jc w:val="center"/>
              <w:rPr>
                <w:rFonts w:hint="eastAsia" w:ascii="仿宋_GB2312" w:hAnsi="宋体" w:eastAsia="仿宋_GB2312" w:cs="仿宋_GB2312"/>
                <w:b/>
                <w:bCs/>
                <w:i w:val="0"/>
                <w:iCs w:val="0"/>
                <w:color w:val="000000"/>
                <w:sz w:val="22"/>
                <w:szCs w:val="22"/>
                <w:u w:val="none"/>
              </w:rPr>
            </w:pPr>
          </w:p>
        </w:tc>
      </w:tr>
      <w:tr w14:paraId="13886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DB44A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E4B65">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4C50F">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25E09">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3476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4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EEE7A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998A22">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430E1">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4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D752A6">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F8B13">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7AF5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677AA">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w:t>
            </w:r>
          </w:p>
        </w:tc>
      </w:tr>
      <w:tr w14:paraId="6B1AD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59304">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7.00</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05D9E">
            <w:pPr>
              <w:jc w:val="right"/>
              <w:rPr>
                <w:rFonts w:hint="default" w:ascii="Times New Roman" w:hAnsi="Times New Roman" w:eastAsia="宋体" w:cs="Times New Roman"/>
                <w:i w:val="0"/>
                <w:iCs w:val="0"/>
                <w:color w:val="000000"/>
                <w:sz w:val="22"/>
                <w:szCs w:val="22"/>
                <w:u w:val="none"/>
              </w:rPr>
            </w:pP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02A7B">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7.00</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087AF">
            <w:pPr>
              <w:jc w:val="right"/>
              <w:rPr>
                <w:rFonts w:hint="default" w:ascii="Times New Roman" w:hAnsi="Times New Roman" w:eastAsia="宋体" w:cs="Times New Roman"/>
                <w:i w:val="0"/>
                <w:iCs w:val="0"/>
                <w:color w:val="000000"/>
                <w:sz w:val="22"/>
                <w:szCs w:val="22"/>
                <w:u w:val="none"/>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3A08A">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3.00</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2E641">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4.00</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D22FC">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4.28</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2124E">
            <w:pPr>
              <w:jc w:val="right"/>
              <w:rPr>
                <w:rFonts w:hint="default" w:ascii="Times New Roman" w:hAnsi="Times New Roman" w:eastAsia="宋体" w:cs="Times New Roman"/>
                <w:i w:val="0"/>
                <w:iCs w:val="0"/>
                <w:color w:val="000000"/>
                <w:sz w:val="22"/>
                <w:szCs w:val="22"/>
                <w:u w:val="none"/>
              </w:rPr>
            </w:pPr>
          </w:p>
        </w:tc>
        <w:tc>
          <w:tcPr>
            <w:tcW w:w="4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37F50">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3.13</w:t>
            </w:r>
          </w:p>
        </w:tc>
        <w:tc>
          <w:tcPr>
            <w:tcW w:w="4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4D7D5">
            <w:pPr>
              <w:jc w:val="right"/>
              <w:rPr>
                <w:rFonts w:hint="default" w:ascii="Times New Roman" w:hAnsi="Times New Roman" w:eastAsia="宋体" w:cs="Times New Roman"/>
                <w:i w:val="0"/>
                <w:iCs w:val="0"/>
                <w:color w:val="000000"/>
                <w:sz w:val="22"/>
                <w:szCs w:val="22"/>
                <w:u w:val="none"/>
              </w:rPr>
            </w:pPr>
          </w:p>
        </w:tc>
        <w:tc>
          <w:tcPr>
            <w:tcW w:w="4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A3658">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3.13</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A92DC">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1.15</w:t>
            </w:r>
          </w:p>
        </w:tc>
      </w:tr>
      <w:tr w14:paraId="5A16D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12"/>
            <w:tcBorders>
              <w:top w:val="nil"/>
              <w:left w:val="nil"/>
              <w:bottom w:val="nil"/>
              <w:right w:val="nil"/>
            </w:tcBorders>
            <w:shd w:val="clear" w:color="auto" w:fill="auto"/>
            <w:vAlign w:val="center"/>
          </w:tcPr>
          <w:p w14:paraId="4AD675B5">
            <w:pPr>
              <w:keepNext w:val="0"/>
              <w:keepLines w:val="0"/>
              <w:widowControl/>
              <w:suppressLineNumbers w:val="0"/>
              <w:jc w:val="left"/>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27F29E77">
      <w:pPr>
        <w:rPr>
          <w:rFonts w:ascii="Times New Roman" w:hAnsi="Times New Roman" w:eastAsia="方正小标宋_GBK" w:cs="Times New Roman"/>
          <w:color w:val="000000"/>
          <w:kern w:val="0"/>
          <w:sz w:val="36"/>
          <w:szCs w:val="36"/>
        </w:rPr>
      </w:pPr>
    </w:p>
    <w:p w14:paraId="576E65EC">
      <w:pPr>
        <w:autoSpaceDE w:val="0"/>
        <w:autoSpaceDN w:val="0"/>
        <w:adjustRightInd w:val="0"/>
        <w:ind w:left="315" w:leftChars="150"/>
        <w:jc w:val="left"/>
        <w:rPr>
          <w:rFonts w:ascii="Times New Roman" w:hAnsi="Times New Roman" w:eastAsia="宋体" w:cs="Times New Roman"/>
          <w:kern w:val="0"/>
          <w:sz w:val="24"/>
          <w:szCs w:val="24"/>
        </w:rPr>
      </w:pPr>
    </w:p>
    <w:p w14:paraId="23F89189">
      <w:pPr>
        <w:autoSpaceDE w:val="0"/>
        <w:autoSpaceDN w:val="0"/>
        <w:adjustRightInd w:val="0"/>
        <w:ind w:left="315" w:leftChars="150"/>
        <w:jc w:val="left"/>
        <w:rPr>
          <w:rFonts w:ascii="Times New Roman" w:hAnsi="Times New Roman" w:eastAsia="宋体" w:cs="Times New Roman"/>
          <w:kern w:val="0"/>
          <w:sz w:val="24"/>
          <w:szCs w:val="24"/>
        </w:rPr>
      </w:pPr>
    </w:p>
    <w:p w14:paraId="099DDF8E">
      <w:pPr>
        <w:autoSpaceDE w:val="0"/>
        <w:autoSpaceDN w:val="0"/>
        <w:adjustRightInd w:val="0"/>
        <w:ind w:left="315" w:leftChars="150"/>
        <w:jc w:val="left"/>
        <w:rPr>
          <w:rFonts w:ascii="Times New Roman" w:hAnsi="Times New Roman" w:eastAsia="宋体" w:cs="Times New Roman"/>
          <w:kern w:val="0"/>
          <w:sz w:val="24"/>
          <w:szCs w:val="24"/>
        </w:rPr>
      </w:pPr>
    </w:p>
    <w:p w14:paraId="0DF9B0FF">
      <w:pPr>
        <w:autoSpaceDE w:val="0"/>
        <w:autoSpaceDN w:val="0"/>
        <w:adjustRightInd w:val="0"/>
        <w:ind w:left="315" w:leftChars="150"/>
        <w:jc w:val="left"/>
        <w:rPr>
          <w:rFonts w:ascii="Times New Roman" w:hAnsi="Times New Roman" w:eastAsia="宋体" w:cs="Times New Roman"/>
          <w:kern w:val="0"/>
          <w:sz w:val="24"/>
          <w:szCs w:val="24"/>
        </w:rPr>
      </w:pPr>
    </w:p>
    <w:p w14:paraId="38617360">
      <w:pPr>
        <w:autoSpaceDE w:val="0"/>
        <w:autoSpaceDN w:val="0"/>
        <w:adjustRightInd w:val="0"/>
        <w:ind w:left="315" w:leftChars="150"/>
        <w:jc w:val="left"/>
        <w:rPr>
          <w:rFonts w:ascii="Times New Roman" w:hAnsi="Times New Roman" w:eastAsia="宋体" w:cs="Times New Roman"/>
          <w:kern w:val="0"/>
          <w:sz w:val="24"/>
          <w:szCs w:val="24"/>
        </w:rPr>
      </w:pPr>
    </w:p>
    <w:p w14:paraId="70291AE5">
      <w:pPr>
        <w:widowControl/>
        <w:rPr>
          <w:rFonts w:ascii="Times New Roman" w:hAnsi="Times New Roman" w:cs="Times New Roman"/>
          <w:sz w:val="72"/>
          <w:szCs w:val="72"/>
        </w:rPr>
        <w:sectPr>
          <w:pgSz w:w="16838" w:h="11906" w:orient="landscape"/>
          <w:pgMar w:top="1134" w:right="1134" w:bottom="1134" w:left="1134" w:header="851" w:footer="992" w:gutter="0"/>
          <w:cols w:space="425" w:num="1"/>
          <w:docGrid w:type="lines" w:linePitch="312" w:charSpace="0"/>
        </w:sectPr>
      </w:pPr>
      <w:r>
        <w:rPr>
          <w:rFonts w:ascii="Times New Roman" w:hAnsi="Times New Roman" w:eastAsia="黑体" w:cs="Times New Roman"/>
          <w:szCs w:val="21"/>
        </w:rPr>
        <w:br w:type="page"/>
      </w:r>
    </w:p>
    <w:p w14:paraId="69DBBECA">
      <w:pPr>
        <w:pStyle w:val="12"/>
        <w:rPr>
          <w:rFonts w:ascii="Times New Roman" w:hAnsi="Times New Roman" w:cs="Times New Roman"/>
          <w:sz w:val="72"/>
          <w:szCs w:val="72"/>
        </w:rPr>
      </w:pPr>
    </w:p>
    <w:p w14:paraId="11FBEB02">
      <w:pPr>
        <w:pStyle w:val="12"/>
        <w:rPr>
          <w:rFonts w:ascii="Times New Roman" w:hAnsi="Times New Roman" w:cs="Times New Roman"/>
          <w:sz w:val="72"/>
          <w:szCs w:val="72"/>
        </w:rPr>
      </w:pPr>
    </w:p>
    <w:p w14:paraId="51A649B5">
      <w:pPr>
        <w:pStyle w:val="12"/>
        <w:rPr>
          <w:rFonts w:ascii="Times New Roman" w:hAnsi="Times New Roman" w:cs="Times New Roman"/>
          <w:sz w:val="72"/>
          <w:szCs w:val="72"/>
        </w:rPr>
      </w:pPr>
    </w:p>
    <w:p w14:paraId="14F0F994">
      <w:pPr>
        <w:pStyle w:val="12"/>
        <w:jc w:val="center"/>
        <w:rPr>
          <w:rFonts w:ascii="Times New Roman" w:hAnsi="Times New Roman" w:cs="Times New Roman"/>
          <w:sz w:val="72"/>
          <w:szCs w:val="72"/>
        </w:rPr>
      </w:pPr>
    </w:p>
    <w:p w14:paraId="25CD991F">
      <w:pPr>
        <w:pStyle w:val="12"/>
        <w:jc w:val="center"/>
        <w:rPr>
          <w:rFonts w:ascii="Times New Roman" w:hAnsi="Times New Roman" w:eastAsia="方正小标宋_GBK" w:cs="Times New Roman"/>
          <w:sz w:val="72"/>
          <w:szCs w:val="72"/>
        </w:rPr>
      </w:pPr>
    </w:p>
    <w:p w14:paraId="4446F678">
      <w:pPr>
        <w:pStyle w:val="12"/>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第三部分</w:t>
      </w:r>
    </w:p>
    <w:p w14:paraId="622DC91A">
      <w:pPr>
        <w:pStyle w:val="12"/>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2024年度</w:t>
      </w:r>
      <w:r>
        <w:rPr>
          <w:rFonts w:hint="eastAsia" w:ascii="Times New Roman" w:hAnsi="Times New Roman" w:eastAsia="方正小标宋_GBK" w:cs="Times New Roman"/>
          <w:sz w:val="52"/>
          <w:szCs w:val="52"/>
          <w:lang w:eastAsia="zh-CN"/>
        </w:rPr>
        <w:t>单位</w:t>
      </w:r>
      <w:r>
        <w:rPr>
          <w:rFonts w:ascii="Times New Roman" w:hAnsi="Times New Roman" w:eastAsia="方正小标宋_GBK" w:cs="Times New Roman"/>
          <w:sz w:val="52"/>
          <w:szCs w:val="52"/>
        </w:rPr>
        <w:t>决算情况说明</w:t>
      </w:r>
    </w:p>
    <w:p w14:paraId="6058D038">
      <w:pPr>
        <w:widowControl/>
        <w:jc w:val="left"/>
        <w:rPr>
          <w:rFonts w:ascii="Times New Roman" w:hAnsi="Times New Roman" w:cs="Times New Roman"/>
          <w:sz w:val="32"/>
          <w:szCs w:val="32"/>
        </w:rPr>
      </w:pPr>
      <w:r>
        <w:rPr>
          <w:rFonts w:ascii="Times New Roman" w:hAnsi="Times New Roman" w:eastAsia="方正小标宋_GBK" w:cs="Times New Roman"/>
          <w:sz w:val="70"/>
          <w:szCs w:val="70"/>
        </w:rPr>
        <w:br w:type="page"/>
      </w:r>
    </w:p>
    <w:p w14:paraId="1B511451">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一、收入支出决算总体情况说明</w:t>
      </w:r>
    </w:p>
    <w:p w14:paraId="1A75020D">
      <w:pPr>
        <w:pStyle w:val="12"/>
        <w:overflowPunct w:val="0"/>
        <w:autoSpaceDE/>
        <w:autoSpaceDN/>
        <w:spacing w:line="600" w:lineRule="exact"/>
        <w:ind w:firstLine="640" w:firstLineChars="200"/>
        <w:jc w:val="both"/>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2024年度收、支总计</w:t>
      </w:r>
      <w:r>
        <w:rPr>
          <w:rFonts w:hint="eastAsia" w:ascii="Times New Roman" w:hAnsi="Times New Roman" w:eastAsia="仿宋_GB2312" w:cs="Times New Roman"/>
          <w:sz w:val="32"/>
          <w:szCs w:val="32"/>
          <w:lang w:val="en-US" w:eastAsia="zh-CN"/>
        </w:rPr>
        <w:t>2398.16</w:t>
      </w:r>
      <w:r>
        <w:rPr>
          <w:rFonts w:ascii="Times New Roman" w:hAnsi="Times New Roman" w:eastAsia="仿宋_GB2312" w:cs="Times New Roman"/>
          <w:sz w:val="32"/>
          <w:szCs w:val="32"/>
        </w:rPr>
        <w:t>万元。与上年相比，减少</w:t>
      </w:r>
      <w:r>
        <w:rPr>
          <w:rFonts w:hint="eastAsia" w:ascii="Times New Roman" w:hAnsi="Times New Roman" w:eastAsia="仿宋_GB2312" w:cs="Times New Roman"/>
          <w:sz w:val="32"/>
          <w:szCs w:val="32"/>
          <w:lang w:val="en-US" w:eastAsia="zh-CN"/>
        </w:rPr>
        <w:t>968.34</w:t>
      </w:r>
      <w:r>
        <w:rPr>
          <w:rFonts w:ascii="Times New Roman" w:hAnsi="Times New Roman" w:eastAsia="仿宋_GB2312" w:cs="Times New Roman"/>
          <w:sz w:val="32"/>
          <w:szCs w:val="32"/>
        </w:rPr>
        <w:t>万元，降低</w:t>
      </w:r>
      <w:r>
        <w:rPr>
          <w:rFonts w:hint="eastAsia" w:ascii="Times New Roman" w:hAnsi="Times New Roman" w:eastAsia="仿宋_GB2312" w:cs="Times New Roman"/>
          <w:sz w:val="32"/>
          <w:szCs w:val="32"/>
          <w:lang w:val="en-US" w:eastAsia="zh-CN"/>
        </w:rPr>
        <w:t>28.76</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lang w:val="en-US" w:eastAsia="zh-CN"/>
        </w:rPr>
        <w:t>2023年下达了国家级知识产权保护中心建设项目专项经费，2024年没有此项经费预算。</w:t>
      </w:r>
    </w:p>
    <w:p w14:paraId="38265F87">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二、收入决算情况说明</w:t>
      </w:r>
    </w:p>
    <w:p w14:paraId="4FE6B656">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2024年度收入合计</w:t>
      </w:r>
      <w:r>
        <w:rPr>
          <w:rFonts w:hint="eastAsia" w:ascii="Times New Roman" w:hAnsi="Times New Roman" w:eastAsia="仿宋_GB2312" w:cs="Times New Roman"/>
          <w:sz w:val="32"/>
          <w:szCs w:val="32"/>
          <w:lang w:val="en-US" w:eastAsia="zh-CN"/>
        </w:rPr>
        <w:t>1679.69</w:t>
      </w:r>
      <w:r>
        <w:rPr>
          <w:rFonts w:ascii="Times New Roman" w:hAnsi="Times New Roman" w:eastAsia="仿宋_GB2312" w:cs="Times New Roman"/>
          <w:sz w:val="32"/>
          <w:szCs w:val="32"/>
        </w:rPr>
        <w:t>万元，其中：财政拨款收入</w:t>
      </w:r>
      <w:r>
        <w:rPr>
          <w:rFonts w:hint="eastAsia" w:ascii="Times New Roman" w:hAnsi="Times New Roman" w:eastAsia="仿宋_GB2312" w:cs="Times New Roman"/>
          <w:sz w:val="32"/>
          <w:szCs w:val="32"/>
          <w:lang w:val="en-US" w:eastAsia="zh-CN"/>
        </w:rPr>
        <w:t>1679.69</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%；上级补助收入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%；事业收入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%；经营收入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%；附属单位上缴收入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%；其他收入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p>
    <w:p w14:paraId="24E9298B">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三、支出决算情况说明</w:t>
      </w:r>
    </w:p>
    <w:p w14:paraId="68BFE1D1">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2024年度支出合计</w:t>
      </w:r>
      <w:r>
        <w:rPr>
          <w:rFonts w:hint="eastAsia" w:ascii="Times New Roman" w:hAnsi="Times New Roman" w:eastAsia="仿宋_GB2312" w:cs="Times New Roman"/>
          <w:sz w:val="32"/>
          <w:szCs w:val="32"/>
        </w:rPr>
        <w:t>1985.24</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1196.94</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60.29</w:t>
      </w:r>
      <w:r>
        <w:rPr>
          <w:rFonts w:ascii="Times New Roman" w:hAnsi="Times New Roman" w:eastAsia="仿宋_GB2312" w:cs="Times New Roman"/>
          <w:sz w:val="32"/>
          <w:szCs w:val="32"/>
        </w:rPr>
        <w:t>%；项目支出</w:t>
      </w:r>
      <w:r>
        <w:rPr>
          <w:rFonts w:hint="eastAsia" w:ascii="Times New Roman" w:hAnsi="Times New Roman" w:eastAsia="仿宋_GB2312" w:cs="Times New Roman"/>
          <w:sz w:val="32"/>
          <w:szCs w:val="32"/>
          <w:lang w:val="en-US" w:eastAsia="zh-CN"/>
        </w:rPr>
        <w:t>788.3</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39.71</w:t>
      </w:r>
      <w:r>
        <w:rPr>
          <w:rFonts w:ascii="Times New Roman" w:hAnsi="Times New Roman" w:eastAsia="仿宋_GB2312" w:cs="Times New Roman"/>
          <w:sz w:val="32"/>
          <w:szCs w:val="32"/>
        </w:rPr>
        <w:t>%；上缴上级支出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%；经营支出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%；对附属单位补助支出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p>
    <w:p w14:paraId="35AE81E5">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四、财政拨款收入支出决算总体情况说明</w:t>
      </w:r>
    </w:p>
    <w:p w14:paraId="6F7B3775">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2024年度财政拨款收、支总计</w:t>
      </w:r>
      <w:r>
        <w:rPr>
          <w:rFonts w:hint="eastAsia" w:ascii="Times New Roman" w:hAnsi="Times New Roman" w:eastAsia="仿宋_GB2312" w:cs="Times New Roman"/>
          <w:sz w:val="32"/>
          <w:szCs w:val="32"/>
          <w:lang w:val="en-US" w:eastAsia="zh-CN"/>
        </w:rPr>
        <w:t>2398.16</w:t>
      </w:r>
      <w:r>
        <w:rPr>
          <w:rFonts w:ascii="Times New Roman" w:hAnsi="Times New Roman" w:eastAsia="仿宋_GB2312" w:cs="Times New Roman"/>
          <w:sz w:val="32"/>
          <w:szCs w:val="32"/>
        </w:rPr>
        <w:t>万元，与上年相比，减少</w:t>
      </w:r>
      <w:r>
        <w:rPr>
          <w:rFonts w:hint="eastAsia" w:ascii="Times New Roman" w:hAnsi="Times New Roman" w:eastAsia="仿宋_GB2312" w:cs="Times New Roman"/>
          <w:sz w:val="32"/>
          <w:szCs w:val="32"/>
          <w:lang w:val="en-US" w:eastAsia="zh-CN"/>
        </w:rPr>
        <w:t>968.34</w:t>
      </w:r>
      <w:r>
        <w:rPr>
          <w:rFonts w:ascii="Times New Roman" w:hAnsi="Times New Roman" w:eastAsia="仿宋_GB2312" w:cs="Times New Roman"/>
          <w:sz w:val="32"/>
          <w:szCs w:val="32"/>
        </w:rPr>
        <w:t>万元，降低</w:t>
      </w:r>
      <w:r>
        <w:rPr>
          <w:rFonts w:hint="eastAsia" w:ascii="Times New Roman" w:hAnsi="Times New Roman" w:eastAsia="仿宋_GB2312" w:cs="Times New Roman"/>
          <w:sz w:val="32"/>
          <w:szCs w:val="32"/>
          <w:lang w:val="en-US" w:eastAsia="zh-CN"/>
        </w:rPr>
        <w:t>28.76</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lang w:val="en-US" w:eastAsia="zh-CN"/>
        </w:rPr>
        <w:t>2023年下达了国家级知识产权保护中心建设项目专项经费，2024年没有此项经费预算。</w:t>
      </w:r>
      <w:bookmarkStart w:id="1" w:name="_GoBack"/>
      <w:bookmarkEnd w:id="1"/>
    </w:p>
    <w:p w14:paraId="61A13859">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五、一般公共预算财政拨款支出决算情况说明</w:t>
      </w:r>
    </w:p>
    <w:p w14:paraId="6FB9C278">
      <w:pPr>
        <w:pStyle w:val="12"/>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（一）一般公共预算财政拨款支出决算总体情况</w:t>
      </w:r>
    </w:p>
    <w:p w14:paraId="167B847D">
      <w:pPr>
        <w:pStyle w:val="12"/>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lang w:val="en-US" w:eastAsia="zh-CN"/>
        </w:rPr>
        <w:t>1985.24</w:t>
      </w:r>
      <w:r>
        <w:rPr>
          <w:rFonts w:ascii="Times New Roman" w:hAnsi="Times New Roman" w:eastAsia="仿宋_GB2312" w:cs="Times New Roman"/>
          <w:sz w:val="32"/>
          <w:szCs w:val="32"/>
        </w:rPr>
        <w:t>万元，占本年支出合计的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%，与上年相比，财政拨款支出减少</w:t>
      </w:r>
      <w:r>
        <w:rPr>
          <w:rFonts w:hint="eastAsia" w:ascii="Times New Roman" w:hAnsi="Times New Roman" w:eastAsia="仿宋_GB2312" w:cs="Times New Roman"/>
          <w:sz w:val="32"/>
          <w:szCs w:val="32"/>
          <w:lang w:val="en-US" w:eastAsia="zh-CN"/>
        </w:rPr>
        <w:t>662.46</w:t>
      </w:r>
      <w:r>
        <w:rPr>
          <w:rFonts w:ascii="Times New Roman" w:hAnsi="Times New Roman" w:eastAsia="仿宋_GB2312" w:cs="Times New Roman"/>
          <w:sz w:val="32"/>
          <w:szCs w:val="32"/>
        </w:rPr>
        <w:t>万元，降低</w:t>
      </w:r>
      <w:r>
        <w:rPr>
          <w:rFonts w:hint="eastAsia" w:ascii="Times New Roman" w:hAnsi="Times New Roman" w:eastAsia="仿宋_GB2312" w:cs="Times New Roman"/>
          <w:sz w:val="32"/>
          <w:szCs w:val="32"/>
          <w:lang w:val="en-US" w:eastAsia="zh-CN"/>
        </w:rPr>
        <w:t>25.02</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lang w:eastAsia="zh-CN"/>
        </w:rPr>
        <w:t>国家级知识产权保护中心建设项目专项经费主要在</w:t>
      </w:r>
      <w:r>
        <w:rPr>
          <w:rFonts w:hint="eastAsia" w:ascii="Times New Roman" w:hAnsi="Times New Roman" w:eastAsia="仿宋_GB2312" w:cs="Times New Roman"/>
          <w:sz w:val="32"/>
          <w:szCs w:val="32"/>
          <w:lang w:val="en-US" w:eastAsia="zh-CN"/>
        </w:rPr>
        <w:t>2023年开支。</w:t>
      </w:r>
    </w:p>
    <w:p w14:paraId="49C5FDFC">
      <w:pPr>
        <w:pStyle w:val="12"/>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（二）一般公共预算财政拨款支出决算结构情况</w:t>
      </w:r>
    </w:p>
    <w:p w14:paraId="4E495BA3">
      <w:pPr>
        <w:pStyle w:val="12"/>
        <w:overflowPunct w:val="0"/>
        <w:autoSpaceDE/>
        <w:autoSpaceDN/>
        <w:spacing w:line="600" w:lineRule="exact"/>
        <w:ind w:firstLine="640" w:firstLineChars="200"/>
        <w:jc w:val="both"/>
        <w:rPr>
          <w:rFonts w:hint="eastAsia" w:ascii="Times New Roman" w:hAnsi="Times New Roman" w:eastAsia="仿宋_GB2312"/>
          <w:sz w:val="32"/>
          <w:szCs w:val="32"/>
          <w:highlight w:val="none"/>
          <w:lang w:val="en-US" w:eastAsia="zh-CN"/>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lang w:val="en-US" w:eastAsia="zh-CN"/>
        </w:rPr>
        <w:t>1985.24</w:t>
      </w:r>
      <w:r>
        <w:rPr>
          <w:rFonts w:ascii="Times New Roman" w:hAnsi="Times New Roman" w:eastAsia="仿宋_GB2312" w:cs="Times New Roman"/>
          <w:sz w:val="32"/>
          <w:szCs w:val="32"/>
        </w:rPr>
        <w:t>万元，主要用于以下方面：一般公共服务（类）支出</w:t>
      </w:r>
      <w:r>
        <w:rPr>
          <w:rFonts w:hint="eastAsia" w:ascii="Times New Roman" w:hAnsi="Times New Roman" w:eastAsia="仿宋_GB2312" w:cs="Times New Roman"/>
          <w:sz w:val="32"/>
          <w:szCs w:val="32"/>
          <w:lang w:val="en-US" w:eastAsia="zh-CN"/>
        </w:rPr>
        <w:t>1697.89</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85.53</w:t>
      </w:r>
      <w:r>
        <w:rPr>
          <w:rFonts w:ascii="Times New Roman" w:hAnsi="Times New Roman" w:eastAsia="仿宋_GB2312" w:cs="Times New Roman"/>
          <w:sz w:val="32"/>
          <w:szCs w:val="32"/>
        </w:rPr>
        <w:t>%；教育（类）支出</w:t>
      </w:r>
      <w:r>
        <w:rPr>
          <w:rFonts w:hint="eastAsia" w:ascii="Times New Roman" w:hAnsi="Times New Roman" w:eastAsia="仿宋_GB2312" w:cs="Times New Roman"/>
          <w:sz w:val="32"/>
          <w:szCs w:val="32"/>
          <w:lang w:val="en-US" w:eastAsia="zh-CN"/>
        </w:rPr>
        <w:t>20.94</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1.05</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sz w:val="32"/>
          <w:szCs w:val="32"/>
          <w:highlight w:val="none"/>
          <w:lang w:val="en-US" w:eastAsia="zh-CN"/>
        </w:rPr>
        <w:t>社会保障和就业</w:t>
      </w:r>
      <w:r>
        <w:rPr>
          <w:rFonts w:hint="eastAsia" w:ascii="Times New Roman" w:hAnsi="Times New Roman" w:eastAsia="仿宋_GB2312"/>
          <w:sz w:val="32"/>
          <w:szCs w:val="32"/>
          <w:highlight w:val="none"/>
        </w:rPr>
        <w:t>（类）支出</w:t>
      </w:r>
      <w:r>
        <w:rPr>
          <w:rFonts w:hint="eastAsia" w:ascii="Times New Roman" w:hAnsi="Times New Roman" w:eastAsia="仿宋_GB2312"/>
          <w:sz w:val="32"/>
          <w:szCs w:val="32"/>
          <w:highlight w:val="none"/>
          <w:lang w:val="en-US" w:eastAsia="zh-CN"/>
        </w:rPr>
        <w:t>114.2</w:t>
      </w:r>
      <w:r>
        <w:rPr>
          <w:rFonts w:hint="eastAsia" w:ascii="Times New Roman" w:hAnsi="Times New Roman" w:eastAsia="仿宋_GB2312"/>
          <w:sz w:val="32"/>
          <w:szCs w:val="32"/>
          <w:highlight w:val="none"/>
        </w:rPr>
        <w:t>万元，占</w:t>
      </w:r>
      <w:r>
        <w:rPr>
          <w:rFonts w:hint="eastAsia" w:ascii="Times New Roman" w:hAnsi="Times New Roman" w:eastAsia="仿宋_GB2312"/>
          <w:sz w:val="32"/>
          <w:szCs w:val="32"/>
          <w:highlight w:val="none"/>
          <w:lang w:val="en-US" w:eastAsia="zh-CN"/>
        </w:rPr>
        <w:t>5.75</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 xml:space="preserve"> 卫生健康</w:t>
      </w:r>
      <w:r>
        <w:rPr>
          <w:rFonts w:hint="eastAsia" w:ascii="Times New Roman" w:hAnsi="Times New Roman" w:eastAsia="仿宋_GB2312"/>
          <w:sz w:val="32"/>
          <w:szCs w:val="32"/>
          <w:highlight w:val="none"/>
        </w:rPr>
        <w:t>（类）</w:t>
      </w:r>
      <w:r>
        <w:rPr>
          <w:rFonts w:hint="eastAsia" w:ascii="Times New Roman" w:hAnsi="Times New Roman" w:eastAsia="仿宋_GB2312"/>
          <w:sz w:val="32"/>
          <w:szCs w:val="32"/>
          <w:highlight w:val="none"/>
          <w:lang w:val="en-US" w:eastAsia="zh-CN"/>
        </w:rPr>
        <w:t>支出52.58万元，占2.65%；住房保障</w:t>
      </w:r>
      <w:r>
        <w:rPr>
          <w:rFonts w:hint="eastAsia" w:ascii="Times New Roman" w:hAnsi="Times New Roman" w:eastAsia="仿宋_GB2312"/>
          <w:sz w:val="32"/>
          <w:szCs w:val="32"/>
          <w:highlight w:val="none"/>
        </w:rPr>
        <w:t>（类）</w:t>
      </w:r>
      <w:r>
        <w:rPr>
          <w:rFonts w:hint="eastAsia" w:ascii="Times New Roman" w:hAnsi="Times New Roman" w:eastAsia="仿宋_GB2312"/>
          <w:sz w:val="32"/>
          <w:szCs w:val="32"/>
          <w:highlight w:val="none"/>
          <w:lang w:val="en-US" w:eastAsia="zh-CN"/>
        </w:rPr>
        <w:t>支出99.63万元，占5.02%。</w:t>
      </w:r>
    </w:p>
    <w:p w14:paraId="140558F9">
      <w:pPr>
        <w:pStyle w:val="12"/>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（三）一般公共预算财政拨款支出决算具体情况</w:t>
      </w:r>
    </w:p>
    <w:p w14:paraId="0ABD0BE8">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2024年度财政拨款支出年初预算数为</w:t>
      </w:r>
      <w:r>
        <w:rPr>
          <w:rFonts w:hint="eastAsia" w:ascii="Times New Roman" w:hAnsi="Times New Roman" w:eastAsia="仿宋_GB2312" w:cs="Times New Roman"/>
          <w:sz w:val="32"/>
          <w:szCs w:val="32"/>
          <w:lang w:val="en-US" w:eastAsia="zh-CN"/>
        </w:rPr>
        <w:t>2193.16</w:t>
      </w:r>
      <w:r>
        <w:rPr>
          <w:rFonts w:ascii="Times New Roman" w:hAnsi="Times New Roman" w:eastAsia="仿宋_GB2312" w:cs="Times New Roman"/>
          <w:sz w:val="32"/>
          <w:szCs w:val="32"/>
        </w:rPr>
        <w:t>万元，支出决算数为</w:t>
      </w:r>
      <w:r>
        <w:rPr>
          <w:rFonts w:hint="eastAsia" w:ascii="Times New Roman" w:hAnsi="Times New Roman" w:eastAsia="仿宋_GB2312" w:cs="Times New Roman"/>
          <w:sz w:val="32"/>
          <w:szCs w:val="32"/>
          <w:lang w:val="en-US" w:eastAsia="zh-CN"/>
        </w:rPr>
        <w:t>1985.24</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90.52</w:t>
      </w:r>
      <w:r>
        <w:rPr>
          <w:rFonts w:ascii="Times New Roman" w:hAnsi="Times New Roman" w:eastAsia="仿宋_GB2312" w:cs="Times New Roman"/>
          <w:sz w:val="32"/>
          <w:szCs w:val="32"/>
        </w:rPr>
        <w:t>%，其中：</w:t>
      </w:r>
    </w:p>
    <w:p w14:paraId="3AAAEB5F">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1、一般公共服务（类）</w:t>
      </w:r>
      <w:r>
        <w:rPr>
          <w:rFonts w:hint="eastAsia" w:ascii="Times New Roman" w:hAnsi="Times New Roman" w:eastAsia="仿宋_GB2312" w:cs="Times New Roman"/>
          <w:sz w:val="32"/>
          <w:szCs w:val="32"/>
        </w:rPr>
        <w:t>知识产权事务</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一般行政管理事务</w:t>
      </w:r>
      <w:r>
        <w:rPr>
          <w:rFonts w:ascii="Times New Roman" w:hAnsi="Times New Roman" w:eastAsia="仿宋_GB2312" w:cs="Times New Roman"/>
          <w:sz w:val="32"/>
          <w:szCs w:val="32"/>
        </w:rPr>
        <w:t>（项）。</w:t>
      </w:r>
    </w:p>
    <w:p w14:paraId="1B4ABC73">
      <w:pPr>
        <w:pStyle w:val="12"/>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11.92</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11.92</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完成年初预算的</w:t>
      </w:r>
      <w:r>
        <w:rPr>
          <w:rFonts w:hint="eastAsia" w:ascii="Times New Roman" w:hAnsi="Times New Roman" w:eastAsia="仿宋_GB2312" w:cs="Times New Roman"/>
          <w:sz w:val="32"/>
          <w:szCs w:val="32"/>
          <w:lang w:val="en-US" w:eastAsia="zh-CN"/>
        </w:rPr>
        <w:t>100%，</w:t>
      </w:r>
      <w:r>
        <w:rPr>
          <w:rFonts w:hint="eastAsia" w:ascii="Times New Roman" w:hAnsi="Times New Roman" w:eastAsia="仿宋_GB2312" w:cs="Times New Roman"/>
          <w:sz w:val="32"/>
          <w:szCs w:val="32"/>
        </w:rPr>
        <w:t>决算数等于年初预算数的主要原因是：收支持平</w:t>
      </w:r>
      <w:r>
        <w:rPr>
          <w:rFonts w:hint="eastAsia" w:ascii="Times New Roman" w:hAnsi="Times New Roman" w:eastAsia="仿宋_GB2312" w:cs="Times New Roman"/>
          <w:sz w:val="32"/>
          <w:szCs w:val="32"/>
          <w:lang w:eastAsia="zh-CN"/>
        </w:rPr>
        <w:t>。</w:t>
      </w:r>
    </w:p>
    <w:p w14:paraId="55D3DB0C">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2、一般公共服务（类）</w:t>
      </w:r>
      <w:r>
        <w:rPr>
          <w:rFonts w:hint="eastAsia" w:ascii="Times New Roman" w:hAnsi="Times New Roman" w:eastAsia="仿宋_GB2312" w:cs="Times New Roman"/>
          <w:sz w:val="32"/>
          <w:szCs w:val="32"/>
        </w:rPr>
        <w:t>知识产权事务</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rPr>
        <w:t>知识产权战略和规划</w:t>
      </w:r>
      <w:r>
        <w:rPr>
          <w:rFonts w:ascii="Times New Roman" w:hAnsi="Times New Roman" w:eastAsia="仿宋_GB2312" w:cs="Times New Roman"/>
          <w:sz w:val="32"/>
          <w:szCs w:val="32"/>
        </w:rPr>
        <w:t>（项）。</w:t>
      </w:r>
    </w:p>
    <w:p w14:paraId="64B6D4BA">
      <w:pPr>
        <w:pStyle w:val="12"/>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288.86</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119.44</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完成年初预算的</w:t>
      </w:r>
      <w:r>
        <w:rPr>
          <w:rFonts w:hint="eastAsia" w:ascii="Times New Roman" w:hAnsi="Times New Roman" w:eastAsia="仿宋_GB2312" w:cs="Times New Roman"/>
          <w:sz w:val="32"/>
          <w:szCs w:val="32"/>
          <w:lang w:val="en-US" w:eastAsia="zh-CN"/>
        </w:rPr>
        <w:t>41.35%，</w:t>
      </w:r>
      <w:r>
        <w:rPr>
          <w:rFonts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eastAsia="zh-CN"/>
        </w:rPr>
        <w:t>小于</w:t>
      </w:r>
      <w:r>
        <w:rPr>
          <w:rFonts w:ascii="Times New Roman" w:hAnsi="Times New Roman" w:eastAsia="仿宋_GB2312" w:cs="Times New Roman"/>
          <w:sz w:val="32"/>
          <w:szCs w:val="32"/>
        </w:rPr>
        <w:t>年初预算数的主要原因是：</w:t>
      </w:r>
      <w:r>
        <w:rPr>
          <w:rFonts w:hint="eastAsia" w:ascii="Times New Roman" w:hAnsi="Times New Roman" w:eastAsia="仿宋_GB2312" w:cs="Times New Roman"/>
          <w:sz w:val="32"/>
          <w:szCs w:val="32"/>
          <w:lang w:eastAsia="zh-CN"/>
        </w:rPr>
        <w:t>国家级知识产权保护中心建设专项中的部分项目经费根据实际工作需求进行缩减。</w:t>
      </w:r>
    </w:p>
    <w:p w14:paraId="3947B84B">
      <w:pPr>
        <w:pStyle w:val="12"/>
        <w:keepNext w:val="0"/>
        <w:keepLines w:val="0"/>
        <w:pageBreakBefore w:val="0"/>
        <w:widowControl w:val="0"/>
        <w:numPr>
          <w:ilvl w:val="0"/>
          <w:numId w:val="2"/>
        </w:numPr>
        <w:kinsoku/>
        <w:wordWrap/>
        <w:overflowPunct/>
        <w:topLinePunct w:val="0"/>
        <w:bidi w:val="0"/>
        <w:snapToGrid/>
        <w:spacing w:line="60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一般公共服务</w:t>
      </w:r>
      <w:r>
        <w:rPr>
          <w:rFonts w:hint="eastAsia" w:ascii="Times New Roman" w:hAnsi="Times New Roman" w:eastAsia="仿宋_GB2312" w:cs="Times New Roman"/>
          <w:sz w:val="32"/>
          <w:szCs w:val="32"/>
          <w:lang w:val="en-US" w:eastAsia="zh-CN"/>
        </w:rPr>
        <w:t>支出</w:t>
      </w:r>
      <w:r>
        <w:rPr>
          <w:rFonts w:hint="eastAsia" w:ascii="Times New Roman" w:hAnsi="Times New Roman" w:eastAsia="仿宋_GB2312" w:cs="Times New Roman"/>
          <w:sz w:val="32"/>
          <w:szCs w:val="32"/>
        </w:rPr>
        <w:t>（类）</w:t>
      </w:r>
      <w:r>
        <w:rPr>
          <w:rFonts w:hint="eastAsia" w:ascii="Times New Roman" w:hAnsi="Times New Roman" w:eastAsia="仿宋_GB2312" w:cs="Times New Roman"/>
          <w:sz w:val="32"/>
          <w:szCs w:val="32"/>
          <w:lang w:val="en-US" w:eastAsia="zh-CN"/>
        </w:rPr>
        <w:t>知识产权事务</w:t>
      </w:r>
      <w:r>
        <w:rPr>
          <w:rFonts w:hint="eastAsia" w:ascii="Times New Roman" w:hAnsi="Times New Roman" w:eastAsia="仿宋_GB2312" w:cs="Times New Roman"/>
          <w:sz w:val="32"/>
          <w:szCs w:val="32"/>
        </w:rPr>
        <w:t>（款）</w:t>
      </w:r>
      <w:r>
        <w:rPr>
          <w:rFonts w:hint="eastAsia" w:ascii="Times New Roman" w:hAnsi="Times New Roman" w:eastAsia="仿宋_GB2312" w:cs="Times New Roman"/>
          <w:sz w:val="32"/>
          <w:szCs w:val="32"/>
          <w:lang w:val="en-US" w:eastAsia="zh-CN"/>
        </w:rPr>
        <w:t>其他知识产权事务支出（项）。</w:t>
      </w:r>
    </w:p>
    <w:p w14:paraId="28802650">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1"/>
        <w:jc w:val="both"/>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411.53</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403.63</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完成年初预算的</w:t>
      </w:r>
      <w:r>
        <w:rPr>
          <w:rFonts w:hint="eastAsia" w:ascii="Times New Roman" w:hAnsi="Times New Roman" w:eastAsia="仿宋_GB2312" w:cs="Times New Roman"/>
          <w:sz w:val="32"/>
          <w:szCs w:val="32"/>
          <w:lang w:val="en-US" w:eastAsia="zh-CN"/>
        </w:rPr>
        <w:t>98.08</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eastAsia="zh-CN"/>
        </w:rPr>
        <w:t>小</w:t>
      </w:r>
      <w:r>
        <w:rPr>
          <w:rFonts w:ascii="Times New Roman" w:hAnsi="Times New Roman" w:eastAsia="仿宋_GB2312" w:cs="Times New Roman"/>
          <w:sz w:val="32"/>
          <w:szCs w:val="32"/>
        </w:rPr>
        <w:t>于年初预算数的主要原因是</w:t>
      </w:r>
      <w:r>
        <w:rPr>
          <w:rFonts w:hint="eastAsia" w:ascii="Times New Roman" w:hAnsi="Times New Roman" w:eastAsia="仿宋_GB2312" w:cs="Times New Roman"/>
          <w:sz w:val="32"/>
          <w:szCs w:val="32"/>
          <w:lang w:eastAsia="zh-CN"/>
        </w:rPr>
        <w:t>：部分项目跨年度，相关经费需明年开支。</w:t>
      </w:r>
    </w:p>
    <w:p w14:paraId="4438A3B0">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1"/>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sz w:val="32"/>
          <w:szCs w:val="32"/>
          <w:lang w:val="en-US" w:eastAsia="zh-CN"/>
        </w:rPr>
        <w:t>4、</w:t>
      </w:r>
      <w:r>
        <w:rPr>
          <w:rFonts w:hint="eastAsia" w:ascii="Times New Roman" w:hAnsi="Times New Roman" w:eastAsia="仿宋_GB2312" w:cs="Times New Roman"/>
          <w:sz w:val="32"/>
          <w:szCs w:val="32"/>
        </w:rPr>
        <w:t>一般公共服务</w:t>
      </w:r>
      <w:r>
        <w:rPr>
          <w:rFonts w:hint="eastAsia" w:ascii="Times New Roman" w:hAnsi="Times New Roman" w:eastAsia="仿宋_GB2312" w:cs="Times New Roman"/>
          <w:sz w:val="32"/>
          <w:szCs w:val="32"/>
          <w:lang w:val="en-US" w:eastAsia="zh-CN"/>
        </w:rPr>
        <w:t>支出</w:t>
      </w:r>
      <w:r>
        <w:rPr>
          <w:rFonts w:hint="eastAsia" w:ascii="Times New Roman" w:hAnsi="Times New Roman" w:eastAsia="仿宋_GB2312" w:cs="Times New Roman"/>
          <w:sz w:val="32"/>
          <w:szCs w:val="32"/>
        </w:rPr>
        <w:t>（类）</w:t>
      </w:r>
      <w:r>
        <w:rPr>
          <w:rFonts w:hint="eastAsia" w:ascii="Times New Roman" w:hAnsi="Times New Roman" w:eastAsia="仿宋_GB2312" w:cs="Times New Roman"/>
          <w:sz w:val="32"/>
          <w:szCs w:val="32"/>
          <w:lang w:val="en-US" w:eastAsia="zh-CN"/>
        </w:rPr>
        <w:t>市场监督管理事务</w:t>
      </w:r>
      <w:r>
        <w:rPr>
          <w:rFonts w:hint="eastAsia" w:ascii="Times New Roman" w:hAnsi="Times New Roman" w:eastAsia="仿宋_GB2312" w:cs="Times New Roman"/>
          <w:sz w:val="32"/>
          <w:szCs w:val="32"/>
        </w:rPr>
        <w:t>（款）</w:t>
      </w:r>
      <w:r>
        <w:rPr>
          <w:rFonts w:hint="eastAsia" w:ascii="Times New Roman" w:hAnsi="Times New Roman" w:eastAsia="仿宋_GB2312" w:cs="Times New Roman"/>
          <w:sz w:val="32"/>
          <w:szCs w:val="32"/>
          <w:lang w:val="en-US" w:eastAsia="zh-CN"/>
        </w:rPr>
        <w:t>质量基础（项）。</w:t>
      </w:r>
    </w:p>
    <w:p w14:paraId="51EBF3A7">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1"/>
        <w:jc w:val="both"/>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年初预算</w:t>
      </w:r>
      <w:r>
        <w:rPr>
          <w:rFonts w:hint="eastAsia" w:ascii="Times New Roman" w:hAnsi="Times New Roman" w:eastAsia="仿宋_GB2312" w:cs="Times New Roman"/>
          <w:sz w:val="32"/>
          <w:szCs w:val="32"/>
        </w:rPr>
        <w:t>为</w:t>
      </w:r>
      <w:r>
        <w:rPr>
          <w:rFonts w:hint="eastAsia" w:ascii="Times New Roman" w:hAnsi="Times New Roman" w:eastAsia="仿宋_GB2312" w:cs="Times New Roman"/>
          <w:sz w:val="32"/>
          <w:szCs w:val="32"/>
          <w:lang w:val="en-US" w:eastAsia="zh-CN"/>
        </w:rPr>
        <w:t>7</w:t>
      </w:r>
      <w:r>
        <w:rPr>
          <w:rFonts w:hint="eastAsia"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42.86</w:t>
      </w:r>
      <w:r>
        <w:rPr>
          <w:rFonts w:hint="eastAsia"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eastAsia="zh-CN"/>
        </w:rPr>
        <w:t>小于</w:t>
      </w:r>
      <w:r>
        <w:rPr>
          <w:rFonts w:hint="eastAsia" w:ascii="Times New Roman" w:hAnsi="Times New Roman" w:eastAsia="仿宋_GB2312" w:cs="Times New Roman"/>
          <w:sz w:val="32"/>
          <w:szCs w:val="32"/>
        </w:rPr>
        <w:t>年初预算数的主要原因是</w:t>
      </w:r>
      <w:r>
        <w:rPr>
          <w:rFonts w:hint="eastAsia" w:ascii="Times New Roman" w:hAnsi="Times New Roman" w:eastAsia="仿宋_GB2312" w:cs="Times New Roman"/>
          <w:sz w:val="32"/>
          <w:szCs w:val="32"/>
          <w:lang w:eastAsia="zh-CN"/>
        </w:rPr>
        <w:t>：根据省财政的要求，调减项目支出。</w:t>
      </w:r>
    </w:p>
    <w:p w14:paraId="64FCFADE">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5、一般公共服务支出（类）市场监督管理事务（款）事业运行（项）。</w:t>
      </w:r>
    </w:p>
    <w:p w14:paraId="7E71B617">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1"/>
        <w:jc w:val="both"/>
        <w:textAlignment w:val="auto"/>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908.6</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930.53</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102.41</w:t>
      </w:r>
      <w:r>
        <w:rPr>
          <w:rFonts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eastAsia="zh-CN"/>
        </w:rPr>
        <w:t>大</w:t>
      </w:r>
      <w:r>
        <w:rPr>
          <w:rFonts w:ascii="Times New Roman" w:hAnsi="Times New Roman" w:eastAsia="仿宋_GB2312" w:cs="Times New Roman"/>
          <w:sz w:val="32"/>
          <w:szCs w:val="32"/>
        </w:rPr>
        <w:t>于年初预算数的主要原因是</w:t>
      </w:r>
      <w:r>
        <w:rPr>
          <w:rFonts w:hint="eastAsia" w:ascii="Times New Roman" w:hAnsi="Times New Roman" w:eastAsia="仿宋_GB2312" w:cs="Times New Roman"/>
          <w:sz w:val="32"/>
          <w:szCs w:val="32"/>
          <w:lang w:eastAsia="zh-CN"/>
        </w:rPr>
        <w:t>：年中追加了知识产权大院物业费</w:t>
      </w:r>
      <w:r>
        <w:rPr>
          <w:rFonts w:hint="eastAsia" w:ascii="Times New Roman" w:hAnsi="Times New Roman" w:eastAsia="仿宋_GB2312" w:cs="Times New Roman"/>
          <w:sz w:val="32"/>
          <w:szCs w:val="32"/>
          <w:lang w:val="en-US" w:eastAsia="zh-CN"/>
        </w:rPr>
        <w:t>。</w:t>
      </w:r>
    </w:p>
    <w:p w14:paraId="76530B1D">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1"/>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6、一般公共服务支出（类）市场监督管理事务（款）其他市场监督管理事务（项）。</w:t>
      </w:r>
    </w:p>
    <w:p w14:paraId="29C06355">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1"/>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247.91</w:t>
      </w:r>
      <w:r>
        <w:rPr>
          <w:rFonts w:hint="eastAsia"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229.37</w:t>
      </w:r>
      <w:r>
        <w:rPr>
          <w:rFonts w:hint="eastAsia"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92.52</w:t>
      </w:r>
      <w:r>
        <w:rPr>
          <w:rFonts w:hint="eastAsia"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eastAsia="zh-CN"/>
        </w:rPr>
        <w:t>小</w:t>
      </w:r>
      <w:r>
        <w:rPr>
          <w:rFonts w:hint="eastAsia" w:ascii="Times New Roman" w:hAnsi="Times New Roman" w:eastAsia="仿宋_GB2312" w:cs="Times New Roman"/>
          <w:sz w:val="32"/>
          <w:szCs w:val="32"/>
        </w:rPr>
        <w:t>于年初预算数的主要原因是：</w:t>
      </w:r>
      <w:r>
        <w:rPr>
          <w:rFonts w:hint="eastAsia" w:ascii="Times New Roman" w:hAnsi="Times New Roman" w:eastAsia="仿宋_GB2312" w:cs="Times New Roman"/>
          <w:sz w:val="32"/>
          <w:szCs w:val="32"/>
          <w:lang w:eastAsia="zh-CN"/>
        </w:rPr>
        <w:t>部分项目跨年度，相关经费需明年开支</w:t>
      </w:r>
      <w:r>
        <w:rPr>
          <w:rFonts w:hint="eastAsia" w:ascii="Times New Roman" w:hAnsi="Times New Roman" w:eastAsia="仿宋_GB2312" w:cs="Times New Roman"/>
          <w:sz w:val="32"/>
          <w:szCs w:val="32"/>
        </w:rPr>
        <w:t>。</w:t>
      </w:r>
    </w:p>
    <w:p w14:paraId="44307026">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1"/>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7、教育支出（类）进修及培训（款）培训支出（项）。</w:t>
      </w:r>
    </w:p>
    <w:p w14:paraId="2C3848A6">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1"/>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年初预算为50.7万元，支出决算为20.94万元，完成年初预算的41.3%，决算数小于年初预算数的主要原因是：贯彻落实习惯过“紧日子”要求，节约培训费支出并根据实际工作开展情况对培训活动进行了适时调整。</w:t>
      </w:r>
    </w:p>
    <w:p w14:paraId="4CAF23F5">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1"/>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8、社会保障和就业支出（类）行政事业单位养老支出（款）事业单位离退休（项）。</w:t>
      </w:r>
    </w:p>
    <w:p w14:paraId="058C7318">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1"/>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2.62</w:t>
      </w:r>
      <w:r>
        <w:rPr>
          <w:rFonts w:hint="eastAsia"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2.62</w:t>
      </w:r>
      <w:r>
        <w:rPr>
          <w:rFonts w:hint="eastAsia" w:ascii="Times New Roman" w:hAnsi="Times New Roman" w:eastAsia="仿宋_GB2312" w:cs="Times New Roman"/>
          <w:sz w:val="32"/>
          <w:szCs w:val="32"/>
        </w:rPr>
        <w:t>万元，完成年初预算的100%，决算数等于年初预算数的主要原因是：收支持平。</w:t>
      </w:r>
    </w:p>
    <w:p w14:paraId="3DF147DE">
      <w:pPr>
        <w:pStyle w:val="12"/>
        <w:keepNext w:val="0"/>
        <w:keepLines w:val="0"/>
        <w:pageBreakBefore w:val="0"/>
        <w:widowControl w:val="0"/>
        <w:numPr>
          <w:ilvl w:val="0"/>
          <w:numId w:val="3"/>
        </w:numPr>
        <w:kinsoku/>
        <w:wordWrap/>
        <w:overflowPunct/>
        <w:topLinePunct w:val="0"/>
        <w:autoSpaceDE w:val="0"/>
        <w:autoSpaceDN w:val="0"/>
        <w:bidi w:val="0"/>
        <w:adjustRightInd w:val="0"/>
        <w:snapToGrid/>
        <w:spacing w:line="600" w:lineRule="exact"/>
        <w:ind w:firstLine="641"/>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社会保障和就业支出（类）行政事业单位养老支出（款）机关事业单位基本养老保险缴费支出（项）。</w:t>
      </w:r>
    </w:p>
    <w:p w14:paraId="2587DD29">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41"/>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97.8</w:t>
      </w:r>
      <w:r>
        <w:rPr>
          <w:rFonts w:hint="eastAsia"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97.59</w:t>
      </w:r>
      <w:r>
        <w:rPr>
          <w:rFonts w:hint="eastAsia"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99.79</w:t>
      </w:r>
      <w:r>
        <w:rPr>
          <w:rFonts w:hint="eastAsia" w:ascii="Times New Roman" w:hAnsi="Times New Roman" w:eastAsia="仿宋_GB2312" w:cs="Times New Roman"/>
          <w:sz w:val="32"/>
          <w:szCs w:val="32"/>
        </w:rPr>
        <w:t>%，决算数</w:t>
      </w:r>
      <w:r>
        <w:rPr>
          <w:rFonts w:hint="eastAsia" w:ascii="Times New Roman" w:hAnsi="Times New Roman" w:eastAsia="仿宋_GB2312" w:cs="Times New Roman"/>
          <w:sz w:val="32"/>
          <w:szCs w:val="32"/>
          <w:lang w:eastAsia="zh-CN"/>
        </w:rPr>
        <w:t>略</w:t>
      </w:r>
      <w:r>
        <w:rPr>
          <w:rFonts w:hint="eastAsia" w:ascii="Times New Roman" w:hAnsi="Times New Roman" w:eastAsia="仿宋_GB2312" w:cs="Times New Roman"/>
          <w:sz w:val="32"/>
          <w:szCs w:val="32"/>
        </w:rPr>
        <w:t>小于年初预算数的主要原因是</w:t>
      </w:r>
      <w:r>
        <w:rPr>
          <w:rFonts w:hint="eastAsia" w:ascii="Times New Roman" w:hAnsi="Times New Roman" w:eastAsia="仿宋_GB2312" w:cs="Times New Roman"/>
          <w:sz w:val="32"/>
          <w:szCs w:val="32"/>
          <w:lang w:eastAsia="zh-CN"/>
        </w:rPr>
        <w:t>：实际支出与预算编制基本持平</w:t>
      </w:r>
      <w:r>
        <w:rPr>
          <w:rFonts w:hint="eastAsia" w:ascii="Times New Roman" w:hAnsi="Times New Roman" w:eastAsia="仿宋_GB2312" w:cs="Times New Roman"/>
          <w:sz w:val="32"/>
          <w:szCs w:val="32"/>
        </w:rPr>
        <w:t>。</w:t>
      </w:r>
    </w:p>
    <w:p w14:paraId="58E770D9">
      <w:pPr>
        <w:pStyle w:val="12"/>
        <w:keepNext w:val="0"/>
        <w:keepLines w:val="0"/>
        <w:pageBreakBefore w:val="0"/>
        <w:widowControl w:val="0"/>
        <w:numPr>
          <w:ilvl w:val="0"/>
          <w:numId w:val="3"/>
        </w:numPr>
        <w:kinsoku/>
        <w:wordWrap/>
        <w:overflowPunct/>
        <w:topLinePunct w:val="0"/>
        <w:autoSpaceDE w:val="0"/>
        <w:autoSpaceDN w:val="0"/>
        <w:bidi w:val="0"/>
        <w:adjustRightInd w:val="0"/>
        <w:snapToGrid/>
        <w:spacing w:line="600" w:lineRule="exact"/>
        <w:ind w:left="0" w:leftChars="0" w:firstLine="641"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社会保障和就业支出（类）其他社会保障和就业支出（款）其他社会保障和就业支出（项）。</w:t>
      </w:r>
    </w:p>
    <w:p w14:paraId="301B55EC">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0" w:leftChars="0" w:firstLine="641" w:firstLineChars="0"/>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14</w:t>
      </w:r>
      <w:r>
        <w:rPr>
          <w:rFonts w:hint="eastAsia"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14</w:t>
      </w:r>
      <w:r>
        <w:rPr>
          <w:rFonts w:hint="eastAsia" w:ascii="Times New Roman" w:hAnsi="Times New Roman" w:eastAsia="仿宋_GB2312" w:cs="Times New Roman"/>
          <w:sz w:val="32"/>
          <w:szCs w:val="32"/>
        </w:rPr>
        <w:t>万元，完成年初预算的100%，决算数等于年初预算数的主要原因是</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收支持平。</w:t>
      </w:r>
    </w:p>
    <w:p w14:paraId="23ED1E38">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0" w:leftChars="0" w:firstLine="641"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11、卫生健康支出（类）行政事业单位医疗（款）事业单位医疗（项）。</w:t>
      </w:r>
    </w:p>
    <w:p w14:paraId="2D17C320">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0" w:leftChars="0" w:firstLine="641" w:firstLineChars="0"/>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52.58</w:t>
      </w:r>
      <w:r>
        <w:rPr>
          <w:rFonts w:hint="eastAsia"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52.58</w:t>
      </w:r>
      <w:r>
        <w:rPr>
          <w:rFonts w:hint="eastAsia" w:ascii="Times New Roman" w:hAnsi="Times New Roman" w:eastAsia="仿宋_GB2312" w:cs="Times New Roman"/>
          <w:sz w:val="32"/>
          <w:szCs w:val="32"/>
        </w:rPr>
        <w:t>万元，完成年初预算的100%，决算数等于年初预算数的主要原因是：收支持平。</w:t>
      </w:r>
    </w:p>
    <w:p w14:paraId="685FBA68">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0" w:leftChars="0" w:firstLine="641" w:firstLineChars="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12、住房保障支出（类）住房改革支出（款）住房公积金（项）。</w:t>
      </w:r>
    </w:p>
    <w:p w14:paraId="4BA0FC1B">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left="0" w:leftChars="0" w:firstLine="641" w:firstLineChars="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99.63</w:t>
      </w:r>
      <w:r>
        <w:rPr>
          <w:rFonts w:hint="eastAsia"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99.63</w:t>
      </w:r>
      <w:r>
        <w:rPr>
          <w:rFonts w:hint="eastAsia" w:ascii="Times New Roman" w:hAnsi="Times New Roman" w:eastAsia="仿宋_GB2312" w:cs="Times New Roman"/>
          <w:sz w:val="32"/>
          <w:szCs w:val="32"/>
        </w:rPr>
        <w:t>万元，完成年初预算的100%，决算数等于年初预算数的主要原因是：收支持平。</w:t>
      </w:r>
    </w:p>
    <w:p w14:paraId="43046182">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六、一般公共预算财政拨款基本支出决算情况说明</w:t>
      </w:r>
    </w:p>
    <w:p w14:paraId="31FE285F">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2024年度一般公共预算财政拨款基本支出</w:t>
      </w:r>
      <w:r>
        <w:rPr>
          <w:rFonts w:hint="eastAsia" w:ascii="Times New Roman" w:hAnsi="Times New Roman" w:eastAsia="仿宋_GB2312" w:cs="Times New Roman"/>
          <w:sz w:val="32"/>
          <w:szCs w:val="32"/>
          <w:lang w:val="en-US" w:eastAsia="zh-CN"/>
        </w:rPr>
        <w:t>1196.94</w:t>
      </w:r>
      <w:r>
        <w:rPr>
          <w:rFonts w:ascii="Times New Roman" w:hAnsi="Times New Roman" w:eastAsia="仿宋_GB2312" w:cs="Times New Roman"/>
          <w:sz w:val="32"/>
          <w:szCs w:val="32"/>
        </w:rPr>
        <w:t>万元，其中：</w:t>
      </w:r>
    </w:p>
    <w:p w14:paraId="558BF30E">
      <w:pPr>
        <w:pStyle w:val="12"/>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b/>
          <w:bCs/>
          <w:sz w:val="32"/>
          <w:szCs w:val="32"/>
        </w:rPr>
        <w:t>人员经费</w:t>
      </w:r>
      <w:r>
        <w:rPr>
          <w:rFonts w:hint="eastAsia" w:ascii="Times New Roman" w:hAnsi="Times New Roman" w:eastAsia="仿宋_GB2312" w:cs="Times New Roman"/>
          <w:sz w:val="32"/>
          <w:szCs w:val="32"/>
          <w:lang w:val="en-US" w:eastAsia="zh-CN"/>
        </w:rPr>
        <w:t>1024.65</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lang w:val="en-US" w:eastAsia="zh-CN"/>
        </w:rPr>
        <w:t>85.61</w:t>
      </w:r>
      <w:r>
        <w:rPr>
          <w:rFonts w:ascii="Times New Roman" w:hAnsi="Times New Roman" w:eastAsia="仿宋_GB2312" w:cs="Times New Roman"/>
          <w:sz w:val="32"/>
          <w:szCs w:val="32"/>
        </w:rPr>
        <w:t>%,主要包括基本工资、津贴补贴、奖金、伙食补助费</w:t>
      </w:r>
      <w:r>
        <w:rPr>
          <w:rFonts w:hint="eastAsia" w:ascii="Times New Roman" w:hAnsi="Times New Roman" w:eastAsia="仿宋_GB2312" w:cs="Times New Roman"/>
          <w:sz w:val="32"/>
          <w:szCs w:val="32"/>
          <w:lang w:eastAsia="zh-CN"/>
        </w:rPr>
        <w:t>、绩效工资、机关事业单位基本养老保险缴费、职业年金缴费、职工医疗保险、离休费、退休费、抚恤金、生活补助、奖励金、其他对个人和家庭补助等。</w:t>
      </w:r>
    </w:p>
    <w:p w14:paraId="3AC8892E">
      <w:pPr>
        <w:pStyle w:val="12"/>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b/>
          <w:bCs/>
          <w:sz w:val="32"/>
          <w:szCs w:val="32"/>
        </w:rPr>
        <w:t>公用经费</w:t>
      </w:r>
      <w:r>
        <w:rPr>
          <w:rFonts w:hint="eastAsia" w:ascii="Times New Roman" w:hAnsi="Times New Roman" w:eastAsia="仿宋_GB2312" w:cs="Times New Roman"/>
          <w:sz w:val="32"/>
          <w:szCs w:val="32"/>
          <w:lang w:val="en-US" w:eastAsia="zh-CN"/>
        </w:rPr>
        <w:t>172.29</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lang w:val="en-US" w:eastAsia="zh-CN"/>
        </w:rPr>
        <w:t>14.39</w:t>
      </w:r>
      <w:r>
        <w:rPr>
          <w:rFonts w:ascii="Times New Roman" w:hAnsi="Times New Roman" w:eastAsia="仿宋_GB2312" w:cs="Times New Roman"/>
          <w:sz w:val="32"/>
          <w:szCs w:val="32"/>
        </w:rPr>
        <w:t>%，主要包括办公费、印刷费、咨询费、手续费</w:t>
      </w:r>
      <w:r>
        <w:rPr>
          <w:rFonts w:hint="eastAsia" w:ascii="Times New Roman" w:hAnsi="Times New Roman" w:eastAsia="仿宋_GB2312" w:cs="Times New Roman"/>
          <w:sz w:val="32"/>
          <w:szCs w:val="32"/>
          <w:lang w:eastAsia="zh-CN"/>
        </w:rPr>
        <w:t>、水费、电费、取暖费、物业管理费、差旅费、维修（护）费、租赁费、会议费、培训费、公务接待费、专用材料费、劳务费、委托业务费、工会经费、其他交通费、其他商品和服务支出等。</w:t>
      </w:r>
    </w:p>
    <w:p w14:paraId="32CD744A">
      <w:pPr>
        <w:pStyle w:val="12"/>
        <w:overflowPunct w:val="0"/>
        <w:autoSpaceDE/>
        <w:autoSpaceDN/>
        <w:spacing w:line="600" w:lineRule="exact"/>
        <w:ind w:firstLine="640" w:firstLineChars="200"/>
        <w:jc w:val="both"/>
        <w:rPr>
          <w:rFonts w:ascii="Times New Roman" w:hAnsi="Times New Roman" w:eastAsia="仿宋_GB2312" w:cs="Times New Roman"/>
          <w:b/>
          <w:sz w:val="32"/>
          <w:szCs w:val="32"/>
        </w:rPr>
      </w:pPr>
      <w:r>
        <w:rPr>
          <w:rFonts w:ascii="Times New Roman" w:hAnsi="Times New Roman" w:cs="Times New Roman"/>
          <w:bCs/>
          <w:sz w:val="32"/>
          <w:szCs w:val="32"/>
        </w:rPr>
        <w:t>七、财政拨款“三公”经费支出决算情况说明</w:t>
      </w:r>
    </w:p>
    <w:p w14:paraId="48551560">
      <w:pPr>
        <w:pStyle w:val="12"/>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（一）“三公”经费财政拨款支出决算总体情况说明</w:t>
      </w:r>
    </w:p>
    <w:p w14:paraId="0417CC78">
      <w:pPr>
        <w:pStyle w:val="12"/>
        <w:overflowPunct w:val="0"/>
        <w:autoSpaceDE/>
        <w:autoSpaceDN/>
        <w:spacing w:line="600" w:lineRule="exact"/>
        <w:ind w:firstLine="640" w:firstLineChars="200"/>
        <w:jc w:val="both"/>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2024年度“三公”经费财政拨款支出预算为</w:t>
      </w:r>
      <w:r>
        <w:rPr>
          <w:rFonts w:hint="eastAsia" w:ascii="Times New Roman" w:hAnsi="Times New Roman" w:eastAsia="仿宋_GB2312" w:cs="Times New Roman"/>
          <w:sz w:val="32"/>
          <w:szCs w:val="32"/>
          <w:lang w:val="en-US" w:eastAsia="zh-CN"/>
        </w:rPr>
        <w:t>7</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4.28</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61.14</w:t>
      </w:r>
      <w:r>
        <w:rPr>
          <w:rFonts w:ascii="Times New Roman" w:hAnsi="Times New Roman" w:eastAsia="仿宋_GB2312" w:cs="Times New Roman"/>
          <w:sz w:val="32"/>
          <w:szCs w:val="32"/>
        </w:rPr>
        <w:t>%；与上年相比减少</w:t>
      </w:r>
      <w:r>
        <w:rPr>
          <w:rFonts w:hint="eastAsia" w:ascii="Times New Roman" w:hAnsi="Times New Roman" w:eastAsia="仿宋_GB2312" w:cs="Times New Roman"/>
          <w:sz w:val="32"/>
          <w:szCs w:val="32"/>
          <w:lang w:val="en-US" w:eastAsia="zh-CN"/>
        </w:rPr>
        <w:t>1.4</w:t>
      </w:r>
      <w:r>
        <w:rPr>
          <w:rFonts w:ascii="Times New Roman" w:hAnsi="Times New Roman" w:eastAsia="仿宋_GB2312" w:cs="Times New Roman"/>
          <w:sz w:val="32"/>
          <w:szCs w:val="32"/>
        </w:rPr>
        <w:t>万元，降低</w:t>
      </w:r>
      <w:r>
        <w:rPr>
          <w:rFonts w:hint="eastAsia" w:ascii="Times New Roman" w:hAnsi="Times New Roman" w:eastAsia="仿宋_GB2312" w:cs="Times New Roman"/>
          <w:sz w:val="32"/>
          <w:szCs w:val="32"/>
          <w:lang w:val="en-US" w:eastAsia="zh-CN"/>
        </w:rPr>
        <w:t>24.65</w:t>
      </w:r>
      <w:r>
        <w:rPr>
          <w:rFonts w:ascii="Times New Roman" w:hAnsi="Times New Roman" w:eastAsia="仿宋_GB2312" w:cs="Times New Roman"/>
          <w:sz w:val="32"/>
          <w:szCs w:val="32"/>
        </w:rPr>
        <w:t>%。决算数小于预算数的主要原因是</w:t>
      </w:r>
      <w:r>
        <w:rPr>
          <w:rFonts w:hint="eastAsia" w:ascii="Times New Roman" w:hAnsi="Times New Roman" w:eastAsia="仿宋_GB2312" w:cs="Times New Roman"/>
          <w:sz w:val="32"/>
          <w:szCs w:val="32"/>
          <w:lang w:eastAsia="zh-CN"/>
        </w:rPr>
        <w:t>遵循厉行节约的原则，进一步压缩三公经费支出</w:t>
      </w:r>
      <w:r>
        <w:rPr>
          <w:rFonts w:ascii="Times New Roman" w:hAnsi="Times New Roman" w:eastAsia="仿宋_GB2312" w:cs="Times New Roman"/>
          <w:sz w:val="32"/>
          <w:szCs w:val="32"/>
        </w:rPr>
        <w:t>。决算数小于上年数的主要原因是</w:t>
      </w:r>
      <w:r>
        <w:rPr>
          <w:rFonts w:hint="eastAsia" w:ascii="Times New Roman" w:hAnsi="Times New Roman" w:eastAsia="仿宋_GB2312" w:cs="Times New Roman"/>
          <w:sz w:val="32"/>
          <w:szCs w:val="32"/>
          <w:lang w:eastAsia="zh-CN"/>
        </w:rPr>
        <w:t>遵循</w:t>
      </w:r>
      <w:r>
        <w:rPr>
          <w:rFonts w:hint="eastAsia" w:ascii="Times New Roman" w:hAnsi="Times New Roman" w:eastAsia="仿宋_GB2312" w:cs="Times New Roman"/>
          <w:sz w:val="32"/>
          <w:szCs w:val="32"/>
        </w:rPr>
        <w:t>厉行节约的原则</w:t>
      </w:r>
      <w:r>
        <w:rPr>
          <w:rFonts w:hint="eastAsia" w:ascii="Times New Roman" w:hAnsi="Times New Roman" w:eastAsia="仿宋_GB2312" w:cs="Times New Roman"/>
          <w:sz w:val="32"/>
          <w:szCs w:val="32"/>
          <w:lang w:eastAsia="zh-CN"/>
        </w:rPr>
        <w:t>，进一步压缩三公经费</w:t>
      </w:r>
      <w:r>
        <w:rPr>
          <w:rFonts w:hint="eastAsia" w:ascii="Times New Roman" w:hAnsi="Times New Roman" w:eastAsia="仿宋_GB2312" w:cs="Times New Roman"/>
          <w:sz w:val="32"/>
          <w:szCs w:val="32"/>
        </w:rPr>
        <w:t>支出</w:t>
      </w:r>
      <w:r>
        <w:rPr>
          <w:rFonts w:ascii="Times New Roman" w:hAnsi="Times New Roman" w:eastAsia="仿宋_GB2312" w:cs="Times New Roman"/>
          <w:sz w:val="32"/>
          <w:szCs w:val="32"/>
        </w:rPr>
        <w:t>。</w:t>
      </w:r>
    </w:p>
    <w:p w14:paraId="45AB2CAF">
      <w:pPr>
        <w:pStyle w:val="12"/>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（二）“三公”经费财政拨款支出决算具体情况说明</w:t>
      </w:r>
    </w:p>
    <w:p w14:paraId="16B03A2C">
      <w:pPr>
        <w:pStyle w:val="12"/>
        <w:overflowPunct w:val="0"/>
        <w:autoSpaceDE/>
        <w:autoSpaceDN/>
        <w:spacing w:line="600" w:lineRule="exact"/>
        <w:ind w:firstLine="640" w:firstLineChars="200"/>
        <w:jc w:val="both"/>
        <w:rPr>
          <w:rFonts w:hint="eastAsia" w:ascii="Times New Roman" w:hAnsi="Times New Roman" w:eastAsia="仿宋_GB2312" w:cs="Times New Roman"/>
          <w:b/>
          <w:bCs/>
          <w:i/>
          <w:color w:val="auto"/>
          <w:sz w:val="32"/>
          <w:szCs w:val="32"/>
          <w:lang w:eastAsia="zh-CN"/>
        </w:rPr>
      </w:pPr>
      <w:r>
        <w:rPr>
          <w:rFonts w:ascii="Times New Roman" w:hAnsi="Times New Roman" w:eastAsia="仿宋_GB2312" w:cs="Times New Roman"/>
          <w:sz w:val="32"/>
          <w:szCs w:val="32"/>
        </w:rPr>
        <w:t>1.因公出国（境）费支出预算为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上年度、本年度均无此项预算和支出</w:t>
      </w:r>
      <w:r>
        <w:rPr>
          <w:rFonts w:hint="eastAsia" w:ascii="Times New Roman" w:hAnsi="Times New Roman" w:eastAsia="仿宋_GB2312" w:cs="Times New Roman"/>
          <w:sz w:val="32"/>
          <w:szCs w:val="32"/>
          <w:lang w:eastAsia="zh-CN"/>
        </w:rPr>
        <w:t>。</w:t>
      </w:r>
    </w:p>
    <w:p w14:paraId="45DBE311">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2.公务用车购置费及运行维护费支出预算为</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3.13</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104.33</w:t>
      </w:r>
      <w:r>
        <w:rPr>
          <w:rFonts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0.33</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增长</w:t>
      </w:r>
      <w:r>
        <w:rPr>
          <w:rFonts w:hint="eastAsia" w:ascii="Times New Roman" w:hAnsi="Times New Roman" w:eastAsia="仿宋_GB2312" w:cs="Times New Roman"/>
          <w:sz w:val="32"/>
          <w:szCs w:val="32"/>
          <w:lang w:val="en-US" w:eastAsia="zh-CN"/>
        </w:rPr>
        <w:t>11.79</w:t>
      </w:r>
      <w:r>
        <w:rPr>
          <w:rFonts w:ascii="Times New Roman" w:hAnsi="Times New Roman" w:eastAsia="仿宋_GB2312" w:cs="Times New Roman"/>
          <w:sz w:val="32"/>
          <w:szCs w:val="32"/>
        </w:rPr>
        <w:t>%。其中：</w:t>
      </w:r>
    </w:p>
    <w:p w14:paraId="3E16F29B">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公务用车购置费支出预算为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上年度、本年度均无此项预算和支出</w:t>
      </w:r>
      <w:r>
        <w:rPr>
          <w:rFonts w:ascii="Times New Roman" w:hAnsi="Times New Roman" w:eastAsia="仿宋_GB2312" w:cs="Times New Roman"/>
          <w:color w:val="000000" w:themeColor="text1"/>
          <w:sz w:val="32"/>
          <w:szCs w:val="32"/>
          <w14:textFill>
            <w14:solidFill>
              <w14:schemeClr w14:val="tx1"/>
            </w14:solidFill>
          </w14:textFill>
        </w:rPr>
        <w:t>。</w:t>
      </w:r>
    </w:p>
    <w:p w14:paraId="774359C1">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公务用车运行维护费支出预算为</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3.13</w:t>
      </w:r>
      <w:r>
        <w:rPr>
          <w:rFonts w:ascii="Times New Roman" w:hAnsi="Times New Roman" w:eastAsia="仿宋_GB2312" w:cs="Times New Roman"/>
          <w:sz w:val="32"/>
          <w:szCs w:val="32"/>
        </w:rPr>
        <w:t>万元，主要是</w:t>
      </w:r>
      <w:r>
        <w:rPr>
          <w:rFonts w:hint="eastAsia" w:ascii="Times New Roman" w:hAnsi="Times New Roman" w:eastAsia="仿宋_GB2312" w:cs="Times New Roman"/>
          <w:sz w:val="32"/>
          <w:szCs w:val="32"/>
          <w:lang w:eastAsia="zh-CN"/>
        </w:rPr>
        <w:t>车辆</w:t>
      </w:r>
      <w:r>
        <w:rPr>
          <w:rFonts w:hint="eastAsia" w:ascii="Times New Roman" w:hAnsi="Times New Roman" w:eastAsia="仿宋_GB2312" w:cs="Times New Roman"/>
          <w:sz w:val="32"/>
          <w:szCs w:val="32"/>
        </w:rPr>
        <w:t>燃油费、保险、维修维护费、过路</w:t>
      </w:r>
      <w:r>
        <w:rPr>
          <w:rFonts w:hint="eastAsia" w:ascii="Times New Roman" w:hAnsi="Times New Roman" w:eastAsia="仿宋_GB2312" w:cs="Times New Roman"/>
          <w:sz w:val="32"/>
          <w:szCs w:val="32"/>
          <w:lang w:eastAsia="zh-CN"/>
        </w:rPr>
        <w:t>过桥</w:t>
      </w:r>
      <w:r>
        <w:rPr>
          <w:rFonts w:hint="eastAsia" w:ascii="Times New Roman" w:hAnsi="Times New Roman" w:eastAsia="仿宋_GB2312" w:cs="Times New Roman"/>
          <w:sz w:val="32"/>
          <w:szCs w:val="32"/>
        </w:rPr>
        <w:t>费等</w:t>
      </w:r>
      <w:r>
        <w:rPr>
          <w:rFonts w:ascii="Times New Roman" w:hAnsi="Times New Roman" w:eastAsia="仿宋_GB2312" w:cs="Times New Roman"/>
          <w:sz w:val="32"/>
          <w:szCs w:val="32"/>
        </w:rPr>
        <w:t>支出，完成预算的</w:t>
      </w:r>
      <w:r>
        <w:rPr>
          <w:rFonts w:hint="eastAsia" w:ascii="Times New Roman" w:hAnsi="Times New Roman" w:eastAsia="仿宋_GB2312" w:cs="Times New Roman"/>
          <w:sz w:val="32"/>
          <w:szCs w:val="32"/>
          <w:lang w:val="en-US" w:eastAsia="zh-CN"/>
        </w:rPr>
        <w:t>104.33</w:t>
      </w:r>
      <w:r>
        <w:rPr>
          <w:rFonts w:ascii="Times New Roman" w:hAnsi="Times New Roman" w:eastAsia="仿宋_GB2312" w:cs="Times New Roman"/>
          <w:sz w:val="32"/>
          <w:szCs w:val="32"/>
        </w:rPr>
        <w:t>%；与上年相比增加</w:t>
      </w:r>
      <w:r>
        <w:rPr>
          <w:rFonts w:hint="eastAsia" w:ascii="Times New Roman" w:hAnsi="Times New Roman" w:eastAsia="仿宋_GB2312" w:cs="Times New Roman"/>
          <w:sz w:val="32"/>
          <w:szCs w:val="32"/>
          <w:lang w:val="en-US" w:eastAsia="zh-CN"/>
        </w:rPr>
        <w:t>0.33</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11.79</w:t>
      </w:r>
      <w:r>
        <w:rPr>
          <w:rFonts w:ascii="Times New Roman" w:hAnsi="Times New Roman" w:eastAsia="仿宋_GB2312" w:cs="Times New Roman"/>
          <w:sz w:val="32"/>
          <w:szCs w:val="32"/>
        </w:rPr>
        <w:t>%。决算数大于预算数的主要原因是</w:t>
      </w:r>
      <w:r>
        <w:rPr>
          <w:rFonts w:hint="eastAsia" w:ascii="Times New Roman" w:hAnsi="Times New Roman" w:eastAsia="仿宋_GB2312" w:cs="Times New Roman"/>
          <w:sz w:val="32"/>
          <w:szCs w:val="32"/>
          <w:lang w:eastAsia="zh-CN"/>
        </w:rPr>
        <w:t>编制预算时依据上年度经费支出进行预测，未考虑到国家级知识产权保护中心正式运行后前往地市级开展工作频率增加等情况，导致实际支出与年初预算出现偏差</w:t>
      </w:r>
      <w:r>
        <w:rPr>
          <w:rFonts w:ascii="Times New Roman" w:hAnsi="Times New Roman" w:eastAsia="仿宋_GB2312" w:cs="Times New Roman"/>
          <w:sz w:val="32"/>
          <w:szCs w:val="32"/>
        </w:rPr>
        <w:t>。决算数大于上年数的主要原因是</w:t>
      </w:r>
      <w:r>
        <w:rPr>
          <w:rFonts w:hint="eastAsia" w:ascii="Times New Roman" w:hAnsi="Times New Roman" w:eastAsia="仿宋_GB2312" w:cs="Times New Roman"/>
          <w:sz w:val="32"/>
          <w:szCs w:val="32"/>
        </w:rPr>
        <w:t>国家级知识产权保护中心正式运行，</w:t>
      </w:r>
      <w:r>
        <w:rPr>
          <w:rFonts w:hint="eastAsia" w:ascii="Times New Roman" w:hAnsi="Times New Roman" w:eastAsia="仿宋_GB2312" w:cs="Times New Roman"/>
          <w:sz w:val="32"/>
          <w:szCs w:val="32"/>
          <w:lang w:eastAsia="zh-CN"/>
        </w:rPr>
        <w:t>前往地市级开展工作频率增加，导致该项支出较上年度小幅度上升</w:t>
      </w:r>
      <w:r>
        <w:rPr>
          <w:rFonts w:ascii="Times New Roman" w:hAnsi="Times New Roman" w:eastAsia="仿宋_GB2312" w:cs="Times New Roman"/>
          <w:sz w:val="32"/>
          <w:szCs w:val="32"/>
        </w:rPr>
        <w:t>。截止2024年12月31日，我单位开支财政拨款的公务用车保有量为</w:t>
      </w: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辆。</w:t>
      </w:r>
    </w:p>
    <w:p w14:paraId="4B62461B">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3.公务接待费支出预算为</w:t>
      </w: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1.15</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28.75</w:t>
      </w:r>
      <w:r>
        <w:rPr>
          <w:rFonts w:ascii="Times New Roman" w:hAnsi="Times New Roman" w:eastAsia="仿宋_GB2312" w:cs="Times New Roman"/>
          <w:sz w:val="32"/>
          <w:szCs w:val="32"/>
        </w:rPr>
        <w:t>%；与上年相比减少</w:t>
      </w:r>
      <w:r>
        <w:rPr>
          <w:rFonts w:hint="eastAsia" w:ascii="Times New Roman" w:hAnsi="Times New Roman" w:eastAsia="仿宋_GB2312" w:cs="Times New Roman"/>
          <w:sz w:val="32"/>
          <w:szCs w:val="32"/>
          <w:lang w:val="en-US" w:eastAsia="zh-CN"/>
        </w:rPr>
        <w:t>1.73</w:t>
      </w:r>
      <w:r>
        <w:rPr>
          <w:rFonts w:ascii="Times New Roman" w:hAnsi="Times New Roman" w:eastAsia="仿宋_GB2312" w:cs="Times New Roman"/>
          <w:sz w:val="32"/>
          <w:szCs w:val="32"/>
        </w:rPr>
        <w:t>万元，降低</w:t>
      </w:r>
      <w:r>
        <w:rPr>
          <w:rFonts w:hint="eastAsia" w:ascii="Times New Roman" w:hAnsi="Times New Roman" w:eastAsia="仿宋_GB2312" w:cs="Times New Roman"/>
          <w:sz w:val="32"/>
          <w:szCs w:val="32"/>
          <w:lang w:val="en-US" w:eastAsia="zh-CN"/>
        </w:rPr>
        <w:t>60.07</w:t>
      </w:r>
      <w:r>
        <w:rPr>
          <w:rFonts w:ascii="Times New Roman" w:hAnsi="Times New Roman" w:eastAsia="仿宋_GB2312" w:cs="Times New Roman"/>
          <w:sz w:val="32"/>
          <w:szCs w:val="32"/>
        </w:rPr>
        <w:t>%。决算数小于预算数的主要原因是</w:t>
      </w:r>
      <w:r>
        <w:rPr>
          <w:rFonts w:hint="eastAsia" w:ascii="Times New Roman" w:hAnsi="Times New Roman" w:eastAsia="仿宋_GB2312" w:cs="Times New Roman"/>
          <w:sz w:val="32"/>
          <w:szCs w:val="32"/>
          <w:lang w:eastAsia="zh-CN"/>
        </w:rPr>
        <w:t>遵循厉行节约原则，进一步减少</w:t>
      </w:r>
      <w:r>
        <w:rPr>
          <w:rFonts w:ascii="Times New Roman" w:hAnsi="Times New Roman" w:eastAsia="仿宋_GB2312" w:cs="Times New Roman"/>
          <w:sz w:val="32"/>
          <w:szCs w:val="32"/>
        </w:rPr>
        <w:t>公务接待费</w:t>
      </w:r>
      <w:r>
        <w:rPr>
          <w:rFonts w:hint="eastAsia" w:ascii="Times New Roman" w:hAnsi="Times New Roman" w:eastAsia="仿宋_GB2312" w:cs="Times New Roman"/>
          <w:sz w:val="32"/>
          <w:szCs w:val="32"/>
          <w:lang w:eastAsia="zh-CN"/>
        </w:rPr>
        <w:t>支出</w:t>
      </w:r>
      <w:r>
        <w:rPr>
          <w:rFonts w:ascii="Times New Roman" w:hAnsi="Times New Roman" w:eastAsia="仿宋_GB2312" w:cs="Times New Roman"/>
          <w:sz w:val="32"/>
          <w:szCs w:val="32"/>
        </w:rPr>
        <w:t>。决算数小于上年数的主要原因是</w:t>
      </w:r>
      <w:r>
        <w:rPr>
          <w:rFonts w:hint="eastAsia" w:ascii="Times New Roman" w:hAnsi="Times New Roman" w:eastAsia="仿宋_GB2312" w:cs="Times New Roman"/>
          <w:sz w:val="32"/>
          <w:szCs w:val="32"/>
          <w:lang w:val="en-US" w:eastAsia="zh-CN"/>
        </w:rPr>
        <w:t>2023年国家级知识产权保护中心初步建成，兄弟单位之间业务交流、对接工作、调研等活动较多；2024年国家级知识产权保护中心正式运行，前往市州开展工作频率增加，所以中心2024年的公务接待费较上年度有所减少。</w:t>
      </w:r>
      <w:r>
        <w:rPr>
          <w:rFonts w:ascii="Times New Roman" w:hAnsi="Times New Roman" w:eastAsia="仿宋_GB2312" w:cs="Times New Roman"/>
          <w:sz w:val="32"/>
          <w:szCs w:val="32"/>
        </w:rPr>
        <w:t>2024年度共接待来访团组</w:t>
      </w:r>
      <w:r>
        <w:rPr>
          <w:rFonts w:hint="eastAsia" w:ascii="Times New Roman" w:hAnsi="Times New Roman" w:eastAsia="仿宋_GB2312" w:cs="Times New Roman"/>
          <w:sz w:val="32"/>
          <w:szCs w:val="32"/>
          <w:lang w:val="en-US" w:eastAsia="zh-CN"/>
        </w:rPr>
        <w:t>15</w:t>
      </w:r>
      <w:r>
        <w:rPr>
          <w:rFonts w:ascii="Times New Roman" w:hAnsi="Times New Roman" w:eastAsia="仿宋_GB2312" w:cs="Times New Roman"/>
          <w:sz w:val="32"/>
          <w:szCs w:val="32"/>
        </w:rPr>
        <w:t>个、来宾</w:t>
      </w:r>
      <w:r>
        <w:rPr>
          <w:rFonts w:hint="eastAsia" w:ascii="Times New Roman" w:hAnsi="Times New Roman" w:eastAsia="仿宋_GB2312" w:cs="Times New Roman"/>
          <w:sz w:val="32"/>
          <w:szCs w:val="32"/>
          <w:lang w:val="en-US" w:eastAsia="zh-CN"/>
        </w:rPr>
        <w:t>113</w:t>
      </w:r>
      <w:r>
        <w:rPr>
          <w:rFonts w:ascii="Times New Roman" w:hAnsi="Times New Roman" w:eastAsia="仿宋_GB2312" w:cs="Times New Roman"/>
          <w:sz w:val="32"/>
          <w:szCs w:val="32"/>
        </w:rPr>
        <w:t>人次，主要是</w:t>
      </w:r>
      <w:r>
        <w:rPr>
          <w:rFonts w:hint="eastAsia" w:ascii="Times New Roman" w:hAnsi="Times New Roman" w:eastAsia="仿宋_GB2312" w:cs="Times New Roman"/>
          <w:sz w:val="32"/>
          <w:szCs w:val="32"/>
          <w:lang w:eastAsia="zh-CN"/>
        </w:rPr>
        <w:t>兄弟单位来</w:t>
      </w:r>
      <w:r>
        <w:rPr>
          <w:rFonts w:hint="eastAsia" w:ascii="Times New Roman" w:hAnsi="Times New Roman" w:eastAsia="仿宋_GB2312" w:cs="Times New Roman"/>
          <w:sz w:val="32"/>
          <w:szCs w:val="32"/>
        </w:rPr>
        <w:t>中心调研、对接工作、学习交流等公务活动</w:t>
      </w:r>
      <w:r>
        <w:rPr>
          <w:rFonts w:ascii="Times New Roman" w:hAnsi="Times New Roman" w:eastAsia="仿宋_GB2312" w:cs="Times New Roman"/>
          <w:sz w:val="32"/>
          <w:szCs w:val="32"/>
        </w:rPr>
        <w:t>发生的接待支出。</w:t>
      </w:r>
    </w:p>
    <w:p w14:paraId="30F90E4C">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八、政府性基金预算收入支出决算情况</w:t>
      </w:r>
    </w:p>
    <w:p w14:paraId="2AA704BA">
      <w:pPr>
        <w:pStyle w:val="12"/>
        <w:overflowPunct w:val="0"/>
        <w:autoSpaceDE/>
        <w:autoSpaceDN/>
        <w:spacing w:line="600" w:lineRule="exact"/>
        <w:ind w:firstLine="640" w:firstLineChars="200"/>
        <w:jc w:val="both"/>
        <w:rPr>
          <w:rFonts w:hint="eastAsia" w:ascii="Times New Roman" w:hAnsi="Times New Roman" w:eastAsia="仿宋_GB2312" w:cs="Times New Roman"/>
          <w:b/>
          <w:bCs/>
          <w:i/>
          <w:color w:val="auto"/>
          <w:sz w:val="32"/>
          <w:szCs w:val="32"/>
          <w:lang w:eastAsia="zh-CN"/>
        </w:rPr>
      </w:pPr>
      <w:r>
        <w:rPr>
          <w:rFonts w:hint="eastAsia"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年度本单位无政府性基金收支</w:t>
      </w:r>
      <w:r>
        <w:rPr>
          <w:rFonts w:hint="eastAsia" w:ascii="Times New Roman" w:hAnsi="Times New Roman" w:eastAsia="仿宋_GB2312" w:cs="Times New Roman"/>
          <w:sz w:val="32"/>
          <w:szCs w:val="32"/>
          <w:lang w:eastAsia="zh-CN"/>
        </w:rPr>
        <w:t>。</w:t>
      </w:r>
    </w:p>
    <w:p w14:paraId="5A7D5998">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九、关于机关运行经费支出说明</w:t>
      </w:r>
    </w:p>
    <w:p w14:paraId="0A0112A6">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年度</w:t>
      </w:r>
      <w:r>
        <w:rPr>
          <w:rFonts w:hint="eastAsia" w:ascii="Times New Roman" w:hAnsi="Times New Roman" w:eastAsia="仿宋_GB2312" w:cs="Times New Roman"/>
          <w:sz w:val="32"/>
          <w:szCs w:val="32"/>
          <w:lang w:eastAsia="zh-CN"/>
        </w:rPr>
        <w:t>本单位无</w:t>
      </w:r>
      <w:r>
        <w:rPr>
          <w:rFonts w:hint="eastAsia" w:ascii="Times New Roman" w:hAnsi="Times New Roman" w:eastAsia="仿宋_GB2312" w:cs="Times New Roman"/>
          <w:sz w:val="32"/>
          <w:szCs w:val="32"/>
        </w:rPr>
        <w:t>机关运行经费支出</w:t>
      </w:r>
      <w:r>
        <w:rPr>
          <w:rFonts w:ascii="Times New Roman" w:hAnsi="Times New Roman" w:eastAsia="仿宋_GB2312" w:cs="Times New Roman"/>
          <w:sz w:val="32"/>
          <w:szCs w:val="32"/>
        </w:rPr>
        <w:t>。</w:t>
      </w:r>
    </w:p>
    <w:p w14:paraId="2B932CE0">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十、一般性支出情况说明</w:t>
      </w:r>
    </w:p>
    <w:p w14:paraId="32F1C032">
      <w:pPr>
        <w:pStyle w:val="12"/>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2024年本</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开支会议费</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万元；开支培训费</w:t>
      </w:r>
      <w:r>
        <w:rPr>
          <w:rFonts w:hint="eastAsia" w:ascii="Times New Roman" w:hAnsi="Times New Roman" w:eastAsia="仿宋_GB2312" w:cs="Times New Roman"/>
          <w:sz w:val="32"/>
          <w:szCs w:val="32"/>
          <w:lang w:val="en-US" w:eastAsia="zh-CN"/>
        </w:rPr>
        <w:t>50.88</w:t>
      </w:r>
      <w:r>
        <w:rPr>
          <w:rFonts w:ascii="Times New Roman" w:hAnsi="Times New Roman" w:eastAsia="仿宋_GB2312" w:cs="Times New Roman"/>
          <w:sz w:val="32"/>
          <w:szCs w:val="32"/>
        </w:rPr>
        <w:t>万元，用于开展</w:t>
      </w:r>
      <w:r>
        <w:rPr>
          <w:rFonts w:hint="eastAsia" w:ascii="Times New Roman" w:hAnsi="Times New Roman" w:eastAsia="仿宋_GB2312"/>
          <w:sz w:val="32"/>
          <w:szCs w:val="32"/>
          <w:highlight w:val="none"/>
          <w:lang w:val="en-US" w:eastAsia="zh-CN"/>
        </w:rPr>
        <w:t>企业海外知识产权保护应对</w:t>
      </w:r>
      <w:r>
        <w:rPr>
          <w:rFonts w:ascii="Times New Roman" w:hAnsi="Times New Roman" w:eastAsia="仿宋_GB2312" w:cs="Times New Roman"/>
          <w:sz w:val="32"/>
          <w:szCs w:val="32"/>
        </w:rPr>
        <w:t>培训</w:t>
      </w:r>
      <w:r>
        <w:rPr>
          <w:rFonts w:hint="eastAsia" w:ascii="Times New Roman" w:hAnsi="Times New Roman" w:eastAsia="仿宋_GB2312" w:cs="Times New Roman"/>
          <w:sz w:val="32"/>
          <w:szCs w:val="32"/>
          <w:lang w:eastAsia="zh-CN"/>
        </w:rPr>
        <w:t>班、知识产权保护和管理培训班、湖南省专利申请预审业务培训班、专利转化对接培训班、知识产权“大篷车”、知识产权服务进高校等培训</w:t>
      </w:r>
      <w:r>
        <w:rPr>
          <w:rFonts w:ascii="Times New Roman" w:hAnsi="Times New Roman" w:eastAsia="仿宋_GB2312" w:cs="Times New Roman"/>
          <w:sz w:val="32"/>
          <w:szCs w:val="32"/>
        </w:rPr>
        <w:t>，人数</w:t>
      </w:r>
      <w:r>
        <w:rPr>
          <w:rFonts w:hint="eastAsia" w:ascii="Times New Roman" w:hAnsi="Times New Roman" w:eastAsia="仿宋_GB2312" w:cs="Times New Roman"/>
          <w:sz w:val="32"/>
          <w:szCs w:val="32"/>
          <w:lang w:val="en-US" w:eastAsia="zh-CN"/>
        </w:rPr>
        <w:t>1168</w:t>
      </w:r>
      <w:r>
        <w:rPr>
          <w:rFonts w:ascii="Times New Roman" w:hAnsi="Times New Roman" w:eastAsia="仿宋_GB2312" w:cs="Times New Roman"/>
          <w:sz w:val="32"/>
          <w:szCs w:val="32"/>
        </w:rPr>
        <w:t>人，内容为</w:t>
      </w:r>
      <w:r>
        <w:rPr>
          <w:rFonts w:hint="eastAsia" w:ascii="Times New Roman" w:hAnsi="Times New Roman" w:eastAsia="仿宋_GB2312"/>
          <w:sz w:val="32"/>
          <w:szCs w:val="32"/>
          <w:highlight w:val="none"/>
          <w:lang w:val="en-US" w:eastAsia="zh-CN"/>
        </w:rPr>
        <w:t>围绕知识</w:t>
      </w:r>
      <w:r>
        <w:rPr>
          <w:rFonts w:hint="eastAsia" w:ascii="Times New Roman" w:hAnsi="Times New Roman" w:eastAsia="仿宋_GB2312"/>
          <w:sz w:val="32"/>
          <w:szCs w:val="32"/>
          <w:lang w:val="en-US" w:eastAsia="zh-CN"/>
        </w:rPr>
        <w:t>产权相关工作开展的业务培训</w:t>
      </w:r>
      <w:r>
        <w:rPr>
          <w:rFonts w:ascii="Times New Roman" w:hAnsi="Times New Roman" w:eastAsia="仿宋_GB2312" w:cs="Times New Roman"/>
          <w:sz w:val="32"/>
          <w:szCs w:val="32"/>
        </w:rPr>
        <w:t>；举办</w:t>
      </w:r>
      <w:r>
        <w:rPr>
          <w:rFonts w:hint="eastAsia" w:ascii="Times New Roman" w:hAnsi="Times New Roman" w:eastAsia="仿宋_GB2312" w:cs="Times New Roman"/>
          <w:sz w:val="32"/>
          <w:szCs w:val="32"/>
          <w:lang w:val="en-US" w:eastAsia="zh-CN"/>
        </w:rPr>
        <w:t>0场次</w:t>
      </w:r>
      <w:r>
        <w:rPr>
          <w:rFonts w:ascii="Times New Roman" w:hAnsi="Times New Roman" w:eastAsia="仿宋_GB2312" w:cs="Times New Roman"/>
          <w:sz w:val="32"/>
          <w:szCs w:val="32"/>
        </w:rPr>
        <w:t>节庆、晚会、论坛、赛事活动，开支</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p>
    <w:p w14:paraId="1F5F5495">
      <w:pPr>
        <w:pStyle w:val="12"/>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十一、关于政府采购支出说明</w:t>
      </w:r>
    </w:p>
    <w:p w14:paraId="03E844E4">
      <w:pPr>
        <w:pStyle w:val="12"/>
        <w:overflowPunct w:val="0"/>
        <w:autoSpaceDE/>
        <w:autoSpaceDN/>
        <w:spacing w:line="600" w:lineRule="exact"/>
        <w:ind w:firstLine="640" w:firstLineChars="200"/>
        <w:jc w:val="both"/>
        <w:rPr>
          <w:rFonts w:hint="eastAsia" w:ascii="Times New Roman" w:hAnsi="Times New Roman" w:eastAsia="仿宋_GB2312" w:cs="Times New Roman"/>
          <w:b/>
          <w:bCs/>
          <w:i/>
          <w:color w:val="auto"/>
          <w:sz w:val="32"/>
          <w:szCs w:val="32"/>
          <w:highlight w:val="none"/>
          <w:lang w:eastAsia="zh-CN"/>
        </w:rPr>
      </w:pPr>
      <w:r>
        <w:rPr>
          <w:rFonts w:ascii="Times New Roman" w:hAnsi="Times New Roman" w:eastAsia="仿宋_GB2312" w:cs="Times New Roman"/>
          <w:sz w:val="32"/>
          <w:szCs w:val="32"/>
          <w:highlight w:val="none"/>
        </w:rPr>
        <w:t>本</w:t>
      </w:r>
      <w:r>
        <w:rPr>
          <w:rFonts w:hint="eastAsia" w:ascii="Times New Roman" w:hAnsi="Times New Roman" w:eastAsia="仿宋_GB2312" w:cs="Times New Roman"/>
          <w:sz w:val="32"/>
          <w:szCs w:val="32"/>
          <w:highlight w:val="none"/>
          <w:lang w:eastAsia="zh-CN"/>
        </w:rPr>
        <w:t>单位</w:t>
      </w:r>
      <w:r>
        <w:rPr>
          <w:rFonts w:ascii="Times New Roman" w:hAnsi="Times New Roman" w:eastAsia="仿宋_GB2312" w:cs="Times New Roman"/>
          <w:sz w:val="32"/>
          <w:szCs w:val="32"/>
          <w:highlight w:val="none"/>
        </w:rPr>
        <w:t>2024年度政府采购支出总额</w:t>
      </w:r>
      <w:r>
        <w:rPr>
          <w:rFonts w:hint="eastAsia" w:ascii="Times New Roman" w:hAnsi="Times New Roman" w:eastAsia="仿宋_GB2312" w:cs="Times New Roman"/>
          <w:sz w:val="32"/>
          <w:szCs w:val="32"/>
          <w:highlight w:val="none"/>
          <w:lang w:val="en-US" w:eastAsia="zh-CN"/>
        </w:rPr>
        <w:t>579.6</w:t>
      </w:r>
      <w:r>
        <w:rPr>
          <w:rFonts w:ascii="Times New Roman" w:hAnsi="Times New Roman" w:eastAsia="仿宋_GB2312" w:cs="Times New Roman"/>
          <w:sz w:val="32"/>
          <w:szCs w:val="32"/>
          <w:highlight w:val="none"/>
        </w:rPr>
        <w:t>万元，其中：政府采购货物支出</w:t>
      </w:r>
      <w:r>
        <w:rPr>
          <w:rFonts w:hint="eastAsia" w:ascii="Times New Roman" w:hAnsi="Times New Roman" w:eastAsia="仿宋_GB2312" w:cs="Times New Roman"/>
          <w:sz w:val="32"/>
          <w:szCs w:val="32"/>
          <w:highlight w:val="none"/>
          <w:lang w:val="en-US" w:eastAsia="zh-CN"/>
        </w:rPr>
        <w:t>88.75</w:t>
      </w:r>
      <w:r>
        <w:rPr>
          <w:rFonts w:ascii="Times New Roman" w:hAnsi="Times New Roman" w:eastAsia="仿宋_GB2312" w:cs="Times New Roman"/>
          <w:sz w:val="32"/>
          <w:szCs w:val="32"/>
          <w:highlight w:val="none"/>
        </w:rPr>
        <w:t>万元、政府采购工程支出</w:t>
      </w:r>
      <w:r>
        <w:rPr>
          <w:rFonts w:hint="eastAsia" w:ascii="Times New Roman" w:hAnsi="Times New Roman" w:eastAsia="仿宋_GB2312" w:cs="Times New Roman"/>
          <w:sz w:val="32"/>
          <w:szCs w:val="32"/>
          <w:highlight w:val="none"/>
          <w:lang w:val="en-US" w:eastAsia="zh-CN"/>
        </w:rPr>
        <w:t>0</w:t>
      </w:r>
      <w:r>
        <w:rPr>
          <w:rFonts w:ascii="Times New Roman" w:hAnsi="Times New Roman" w:eastAsia="仿宋_GB2312" w:cs="Times New Roman"/>
          <w:sz w:val="32"/>
          <w:szCs w:val="32"/>
          <w:highlight w:val="none"/>
        </w:rPr>
        <w:t>万元、政府采购服务支出</w:t>
      </w:r>
      <w:r>
        <w:rPr>
          <w:rFonts w:hint="eastAsia" w:ascii="Times New Roman" w:hAnsi="Times New Roman" w:eastAsia="仿宋_GB2312" w:cs="Times New Roman"/>
          <w:sz w:val="32"/>
          <w:szCs w:val="32"/>
          <w:highlight w:val="none"/>
          <w:lang w:val="en-US" w:eastAsia="zh-CN"/>
        </w:rPr>
        <w:t>490.85</w:t>
      </w:r>
      <w:r>
        <w:rPr>
          <w:rFonts w:ascii="Times New Roman" w:hAnsi="Times New Roman" w:eastAsia="仿宋_GB2312" w:cs="Times New Roman"/>
          <w:sz w:val="32"/>
          <w:szCs w:val="32"/>
          <w:highlight w:val="none"/>
        </w:rPr>
        <w:t>万元。授予中小企业合同金额</w:t>
      </w:r>
      <w:r>
        <w:rPr>
          <w:rFonts w:hint="eastAsia" w:ascii="Times New Roman" w:hAnsi="Times New Roman" w:eastAsia="仿宋_GB2312" w:cs="Times New Roman"/>
          <w:sz w:val="32"/>
          <w:szCs w:val="32"/>
          <w:highlight w:val="none"/>
          <w:lang w:val="en-US" w:eastAsia="zh-CN"/>
        </w:rPr>
        <w:t>420.55</w:t>
      </w:r>
      <w:r>
        <w:rPr>
          <w:rFonts w:ascii="Times New Roman" w:hAnsi="Times New Roman" w:eastAsia="仿宋_GB2312" w:cs="Times New Roman"/>
          <w:sz w:val="32"/>
          <w:szCs w:val="32"/>
          <w:highlight w:val="none"/>
        </w:rPr>
        <w:t>万元，占政府采购支出总额的</w:t>
      </w:r>
      <w:r>
        <w:rPr>
          <w:rFonts w:hint="eastAsia" w:ascii="Times New Roman" w:hAnsi="Times New Roman" w:eastAsia="仿宋_GB2312" w:cs="Times New Roman"/>
          <w:sz w:val="32"/>
          <w:szCs w:val="32"/>
          <w:highlight w:val="none"/>
          <w:lang w:val="en-US" w:eastAsia="zh-CN"/>
        </w:rPr>
        <w:t>72.56</w:t>
      </w:r>
      <w:r>
        <w:rPr>
          <w:rFonts w:ascii="Times New Roman" w:hAnsi="Times New Roman" w:eastAsia="仿宋_GB2312" w:cs="Times New Roman"/>
          <w:sz w:val="32"/>
          <w:szCs w:val="32"/>
          <w:highlight w:val="none"/>
        </w:rPr>
        <w:t>%，其中：授予小微企业合同金额</w:t>
      </w:r>
      <w:r>
        <w:rPr>
          <w:rFonts w:hint="eastAsia" w:ascii="Times New Roman" w:hAnsi="Times New Roman" w:eastAsia="仿宋_GB2312" w:cs="Times New Roman"/>
          <w:sz w:val="32"/>
          <w:szCs w:val="32"/>
          <w:highlight w:val="none"/>
          <w:lang w:val="en-US" w:eastAsia="zh-CN"/>
        </w:rPr>
        <w:t>355.79</w:t>
      </w:r>
      <w:r>
        <w:rPr>
          <w:rFonts w:ascii="Times New Roman" w:hAnsi="Times New Roman" w:eastAsia="仿宋_GB2312" w:cs="Times New Roman"/>
          <w:sz w:val="32"/>
          <w:szCs w:val="32"/>
          <w:highlight w:val="none"/>
        </w:rPr>
        <w:t>万元，</w:t>
      </w:r>
      <w:r>
        <w:rPr>
          <w:rFonts w:ascii="Times New Roman" w:hAnsi="Times New Roman" w:eastAsia="仿宋_GB2312" w:cs="Times New Roman"/>
          <w:color w:val="auto"/>
          <w:sz w:val="32"/>
          <w:szCs w:val="32"/>
          <w:highlight w:val="none"/>
        </w:rPr>
        <w:t>占授予中小企业合同金额的</w:t>
      </w:r>
      <w:r>
        <w:rPr>
          <w:rFonts w:hint="eastAsia" w:ascii="Times New Roman" w:hAnsi="Times New Roman" w:eastAsia="仿宋_GB2312" w:cs="Times New Roman"/>
          <w:color w:val="auto"/>
          <w:sz w:val="32"/>
          <w:szCs w:val="32"/>
          <w:highlight w:val="none"/>
          <w:lang w:val="en-US" w:eastAsia="zh-CN"/>
        </w:rPr>
        <w:t>84.6</w:t>
      </w:r>
      <w:r>
        <w:rPr>
          <w:rFonts w:ascii="Times New Roman" w:hAnsi="Times New Roman" w:eastAsia="仿宋_GB2312" w:cs="Times New Roman"/>
          <w:color w:val="auto"/>
          <w:sz w:val="32"/>
          <w:szCs w:val="32"/>
          <w:highlight w:val="none"/>
        </w:rPr>
        <w:t>%。货物采购授予中小企业合同金额占货物支出金额的</w:t>
      </w:r>
      <w:r>
        <w:rPr>
          <w:rFonts w:hint="eastAsia" w:ascii="Times New Roman" w:hAnsi="Times New Roman" w:eastAsia="仿宋_GB2312" w:cs="Times New Roman"/>
          <w:color w:val="auto"/>
          <w:sz w:val="32"/>
          <w:szCs w:val="32"/>
          <w:highlight w:val="none"/>
          <w:lang w:val="en-US" w:eastAsia="zh-CN"/>
        </w:rPr>
        <w:t>53.42</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rPr>
        <w:t>工程采购授予中小企业合同金额占工程支出金额的百分比无法计算，原因是政府采购工程支出金额为0万元</w:t>
      </w:r>
      <w:r>
        <w:rPr>
          <w:rFonts w:ascii="Times New Roman" w:hAnsi="Times New Roman" w:eastAsia="仿宋_GB2312" w:cs="Times New Roman"/>
          <w:color w:val="auto"/>
          <w:sz w:val="32"/>
          <w:szCs w:val="32"/>
          <w:highlight w:val="none"/>
        </w:rPr>
        <w:t>，服务采购授予中小企业合同金额占服务支出金额的</w:t>
      </w:r>
      <w:r>
        <w:rPr>
          <w:rFonts w:hint="eastAsia" w:ascii="Times New Roman" w:hAnsi="Times New Roman" w:eastAsia="仿宋_GB2312" w:cs="Times New Roman"/>
          <w:color w:val="auto"/>
          <w:sz w:val="32"/>
          <w:szCs w:val="32"/>
          <w:highlight w:val="none"/>
          <w:lang w:val="en-US" w:eastAsia="zh-CN"/>
        </w:rPr>
        <w:t>76.02</w:t>
      </w:r>
      <w:r>
        <w:rPr>
          <w:rFonts w:ascii="Times New Roman" w:hAnsi="Times New Roman" w:eastAsia="仿宋_GB2312" w:cs="Times New Roman"/>
          <w:color w:val="auto"/>
          <w:sz w:val="32"/>
          <w:szCs w:val="32"/>
          <w:highlight w:val="none"/>
        </w:rPr>
        <w:t>%。</w:t>
      </w:r>
    </w:p>
    <w:p w14:paraId="5A2EE569">
      <w:pPr>
        <w:pStyle w:val="12"/>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十二、关于国有资产占用情况说明</w:t>
      </w:r>
    </w:p>
    <w:p w14:paraId="6AF1AE24">
      <w:pPr>
        <w:pStyle w:val="12"/>
        <w:overflowPunct w:val="0"/>
        <w:autoSpaceDE/>
        <w:autoSpaceDN/>
        <w:spacing w:line="60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截至2024年12月31日，单位共有车辆</w:t>
      </w:r>
      <w:r>
        <w:rPr>
          <w:rFonts w:hint="eastAsia" w:ascii="Times New Roman" w:hAnsi="Times New Roman" w:eastAsia="仿宋_GB2312" w:cs="Times New Roman"/>
          <w:color w:val="auto"/>
          <w:sz w:val="32"/>
          <w:szCs w:val="32"/>
          <w:lang w:val="en-US" w:eastAsia="zh-CN"/>
        </w:rPr>
        <w:t>1</w:t>
      </w:r>
      <w:r>
        <w:rPr>
          <w:rFonts w:ascii="Times New Roman" w:hAnsi="Times New Roman" w:eastAsia="仿宋_GB2312" w:cs="Times New Roman"/>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辆、机要通信用车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辆、执法执勤用车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辆、其他用车</w:t>
      </w:r>
      <w:r>
        <w:rPr>
          <w:rFonts w:hint="eastAsia" w:ascii="Times New Roman" w:hAnsi="Times New Roman" w:eastAsia="仿宋_GB2312" w:cs="Times New Roman"/>
          <w:color w:val="auto"/>
          <w:sz w:val="32"/>
          <w:szCs w:val="32"/>
          <w:lang w:val="en-US" w:eastAsia="zh-CN"/>
        </w:rPr>
        <w:t>1</w:t>
      </w:r>
      <w:r>
        <w:rPr>
          <w:rFonts w:ascii="Times New Roman" w:hAnsi="Times New Roman" w:eastAsia="仿宋_GB2312" w:cs="Times New Roman"/>
          <w:color w:val="auto"/>
          <w:sz w:val="32"/>
          <w:szCs w:val="32"/>
        </w:rPr>
        <w:t>辆，其他用车主要是</w:t>
      </w:r>
      <w:r>
        <w:rPr>
          <w:rFonts w:hint="eastAsia" w:ascii="Times New Roman" w:hAnsi="Times New Roman" w:eastAsia="仿宋_GB2312" w:cs="Times New Roman"/>
          <w:color w:val="auto"/>
          <w:sz w:val="32"/>
          <w:szCs w:val="32"/>
          <w:lang w:eastAsia="zh-CN"/>
        </w:rPr>
        <w:t>业务用车</w:t>
      </w:r>
      <w:r>
        <w:rPr>
          <w:rFonts w:ascii="Times New Roman" w:hAnsi="Times New Roman" w:eastAsia="仿宋_GB2312" w:cs="Times New Roman"/>
          <w:color w:val="auto"/>
          <w:sz w:val="32"/>
          <w:szCs w:val="32"/>
        </w:rPr>
        <w:t>；单位价值100万元以上设备（不含车辆）</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台（套）。</w:t>
      </w:r>
    </w:p>
    <w:p w14:paraId="0B8FF146">
      <w:pPr>
        <w:pStyle w:val="12"/>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十三、关于</w:t>
      </w:r>
      <w:r>
        <w:rPr>
          <w:rFonts w:ascii="Times New Roman" w:hAnsi="Times New Roman" w:eastAsia="仿宋_GB2312" w:cs="Times New Roman"/>
          <w:color w:val="auto"/>
          <w:sz w:val="32"/>
          <w:szCs w:val="32"/>
        </w:rPr>
        <w:t>2024</w:t>
      </w:r>
      <w:r>
        <w:rPr>
          <w:rFonts w:ascii="Times New Roman" w:hAnsi="Times New Roman" w:cs="Times New Roman"/>
          <w:bCs/>
          <w:color w:val="auto"/>
          <w:sz w:val="32"/>
          <w:szCs w:val="32"/>
        </w:rPr>
        <w:t>年度预算绩效情况的说明</w:t>
      </w:r>
    </w:p>
    <w:p w14:paraId="5586D675">
      <w:pPr>
        <w:overflowPunct w:val="0"/>
        <w:spacing w:line="600" w:lineRule="exact"/>
        <w:ind w:firstLine="640" w:firstLineChars="200"/>
        <w:rPr>
          <w:rFonts w:ascii="Times New Roman" w:hAnsi="Times New Roman" w:eastAsia="仿宋_GB2312" w:cs="Times New Roman"/>
          <w:kern w:val="0"/>
          <w:sz w:val="32"/>
          <w:szCs w:val="32"/>
        </w:rPr>
      </w:pPr>
      <w:r>
        <w:rPr>
          <w:rFonts w:ascii="Times New Roman" w:hAnsi="Times New Roman" w:eastAsia="楷体_GB2312" w:cs="Times New Roman"/>
          <w:b/>
          <w:bCs/>
          <w:sz w:val="32"/>
          <w:szCs w:val="32"/>
        </w:rPr>
        <w:t>（一）绩效评价工作开展情况。</w:t>
      </w:r>
      <w:r>
        <w:rPr>
          <w:rFonts w:ascii="Times New Roman" w:hAnsi="Times New Roman" w:eastAsia="仿宋_GB2312" w:cs="Times New Roman"/>
          <w:b/>
          <w:bCs/>
          <w:kern w:val="0"/>
          <w:sz w:val="32"/>
          <w:szCs w:val="32"/>
        </w:rPr>
        <w:t>一是绩效自评开展情况。</w:t>
      </w:r>
      <w:r>
        <w:rPr>
          <w:rFonts w:ascii="Times New Roman" w:hAnsi="Times New Roman" w:eastAsia="仿宋_GB2312" w:cs="Times New Roman"/>
          <w:kern w:val="0"/>
          <w:sz w:val="32"/>
          <w:szCs w:val="32"/>
        </w:rPr>
        <w:t>组织对2024年度本单位整体支出开展绩效自评，涉及项目</w:t>
      </w:r>
      <w:r>
        <w:rPr>
          <w:rFonts w:hint="eastAsia" w:ascii="Times New Roman" w:hAnsi="Times New Roman" w:eastAsia="仿宋_GB2312" w:cs="Times New Roman"/>
          <w:kern w:val="0"/>
          <w:sz w:val="32"/>
          <w:szCs w:val="32"/>
          <w:lang w:val="en-US" w:eastAsia="zh-CN"/>
        </w:rPr>
        <w:t>6</w:t>
      </w:r>
      <w:r>
        <w:rPr>
          <w:rFonts w:ascii="Times New Roman" w:hAnsi="Times New Roman" w:eastAsia="仿宋_GB2312" w:cs="Times New Roman"/>
          <w:kern w:val="0"/>
          <w:sz w:val="32"/>
          <w:szCs w:val="32"/>
        </w:rPr>
        <w:t xml:space="preserve"> 个，共涉及资金</w:t>
      </w:r>
      <w:r>
        <w:rPr>
          <w:rFonts w:hint="eastAsia" w:ascii="Times New Roman" w:hAnsi="Times New Roman" w:eastAsia="仿宋_GB2312" w:cs="Times New Roman"/>
          <w:kern w:val="0"/>
          <w:sz w:val="32"/>
          <w:szCs w:val="32"/>
          <w:lang w:val="en-US" w:eastAsia="zh-CN"/>
        </w:rPr>
        <w:t>535.07</w:t>
      </w:r>
      <w:r>
        <w:rPr>
          <w:rFonts w:ascii="Times New Roman" w:hAnsi="Times New Roman" w:eastAsia="仿宋_GB2312" w:cs="Times New Roman"/>
          <w:kern w:val="0"/>
          <w:sz w:val="32"/>
          <w:szCs w:val="32"/>
        </w:rPr>
        <w:t>万元。其中，一般公共预算项目</w:t>
      </w:r>
      <w:r>
        <w:rPr>
          <w:rFonts w:hint="eastAsia" w:ascii="Times New Roman" w:hAnsi="Times New Roman" w:eastAsia="仿宋_GB2312" w:cs="Times New Roman"/>
          <w:kern w:val="0"/>
          <w:sz w:val="32"/>
          <w:szCs w:val="32"/>
          <w:lang w:val="en-US" w:eastAsia="zh-CN"/>
        </w:rPr>
        <w:t>6</w:t>
      </w:r>
      <w:r>
        <w:rPr>
          <w:rFonts w:ascii="Times New Roman" w:hAnsi="Times New Roman" w:eastAsia="仿宋_GB2312" w:cs="Times New Roman"/>
          <w:kern w:val="0"/>
          <w:sz w:val="32"/>
          <w:szCs w:val="32"/>
        </w:rPr>
        <w:t xml:space="preserve"> 个</w:t>
      </w:r>
      <w:r>
        <w:rPr>
          <w:rFonts w:hint="eastAsia" w:ascii="Times New Roman" w:hAnsi="Times New Roman" w:eastAsia="仿宋_GB2312" w:cs="Times New Roman"/>
          <w:kern w:val="0"/>
          <w:sz w:val="32"/>
          <w:szCs w:val="32"/>
          <w:lang w:val="en-US" w:eastAsia="zh-CN"/>
        </w:rPr>
        <w:t>535.07</w:t>
      </w:r>
      <w:r>
        <w:rPr>
          <w:rFonts w:ascii="Times New Roman" w:hAnsi="Times New Roman" w:eastAsia="仿宋_GB2312" w:cs="Times New Roman"/>
          <w:kern w:val="0"/>
          <w:sz w:val="32"/>
          <w:szCs w:val="32"/>
        </w:rPr>
        <w:t xml:space="preserve"> 万元，占一般公共预算支出总额的</w:t>
      </w:r>
      <w:r>
        <w:rPr>
          <w:rFonts w:hint="eastAsia" w:ascii="Times New Roman" w:hAnsi="Times New Roman" w:eastAsia="仿宋_GB2312" w:cs="Times New Roman"/>
          <w:kern w:val="0"/>
          <w:sz w:val="32"/>
          <w:szCs w:val="32"/>
          <w:lang w:val="en-US" w:eastAsia="zh-CN"/>
        </w:rPr>
        <w:t>100</w:t>
      </w:r>
      <w:r>
        <w:rPr>
          <w:rFonts w:ascii="Times New Roman" w:hAnsi="Times New Roman" w:eastAsia="仿宋_GB2312" w:cs="Times New Roman"/>
          <w:kern w:val="0"/>
          <w:sz w:val="32"/>
          <w:szCs w:val="32"/>
        </w:rPr>
        <w:t>%；政府性基金预算项目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 xml:space="preserve"> 万元，占政府性基金预算支出总额的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%；国有资本经营预算项目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万元，占国有资本经营预算支出总额的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%；社会保险基金预算项目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万元，占社会保险基金预算支出总额的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w:t>
      </w:r>
    </w:p>
    <w:p w14:paraId="5FAA6EC5">
      <w:pPr>
        <w:overflowPunct w:val="0"/>
        <w:spacing w:line="600" w:lineRule="exact"/>
        <w:ind w:firstLine="640" w:firstLineChars="200"/>
        <w:rPr>
          <w:rFonts w:ascii="Times New Roman" w:hAnsi="Times New Roman" w:eastAsia="仿宋_GB2312" w:cs="Times New Roman"/>
          <w:bCs/>
          <w:sz w:val="32"/>
          <w:szCs w:val="32"/>
        </w:rPr>
      </w:pPr>
      <w:r>
        <w:rPr>
          <w:rFonts w:ascii="Times New Roman" w:hAnsi="Times New Roman" w:eastAsia="楷体_GB2312" w:cs="Times New Roman"/>
          <w:b/>
          <w:bCs/>
          <w:sz w:val="32"/>
          <w:szCs w:val="32"/>
        </w:rPr>
        <w:t>（二）绩效评价结果。</w:t>
      </w:r>
      <w:r>
        <w:rPr>
          <w:rFonts w:ascii="Times New Roman" w:hAnsi="Times New Roman" w:eastAsia="仿宋_GB2312" w:cs="Times New Roman"/>
          <w:b/>
          <w:bCs/>
          <w:kern w:val="0"/>
          <w:sz w:val="32"/>
          <w:szCs w:val="32"/>
        </w:rPr>
        <w:t>一是绩效自评结果。</w:t>
      </w:r>
      <w:r>
        <w:rPr>
          <w:rFonts w:ascii="Times New Roman" w:hAnsi="Times New Roman" w:eastAsia="仿宋_GB2312" w:cs="Times New Roman"/>
          <w:kern w:val="0"/>
          <w:sz w:val="32"/>
          <w:szCs w:val="32"/>
        </w:rPr>
        <w:t>2024年度本单位整体支出</w:t>
      </w:r>
      <w:r>
        <w:rPr>
          <w:rFonts w:ascii="Times New Roman" w:hAnsi="Times New Roman" w:eastAsia="仿宋_GB2312" w:cs="Times New Roman"/>
          <w:sz w:val="32"/>
          <w:szCs w:val="32"/>
        </w:rPr>
        <w:t>全年预算数</w:t>
      </w:r>
      <w:r>
        <w:rPr>
          <w:rFonts w:hint="eastAsia" w:ascii="Times New Roman" w:hAnsi="Times New Roman" w:eastAsia="仿宋_GB2312" w:cs="Times New Roman"/>
          <w:sz w:val="32"/>
          <w:szCs w:val="32"/>
          <w:lang w:val="en-US" w:eastAsia="zh-CN"/>
        </w:rPr>
        <w:t>2398.16</w:t>
      </w:r>
      <w:r>
        <w:rPr>
          <w:rFonts w:ascii="Times New Roman" w:hAnsi="Times New Roman" w:eastAsia="仿宋_GB2312" w:cs="Times New Roman"/>
          <w:sz w:val="32"/>
          <w:szCs w:val="32"/>
        </w:rPr>
        <w:t>万元，执行数</w:t>
      </w:r>
      <w:r>
        <w:rPr>
          <w:rFonts w:hint="eastAsia" w:ascii="Times New Roman" w:hAnsi="Times New Roman" w:eastAsia="仿宋_GB2312" w:cs="Times New Roman"/>
          <w:sz w:val="32"/>
          <w:szCs w:val="32"/>
          <w:lang w:val="en-US" w:eastAsia="zh-CN"/>
        </w:rPr>
        <w:t>1985.24</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82.78</w:t>
      </w:r>
      <w:r>
        <w:rPr>
          <w:rFonts w:ascii="Times New Roman" w:hAnsi="Times New Roman" w:eastAsia="仿宋_GB2312" w:cs="Times New Roman"/>
          <w:sz w:val="32"/>
          <w:szCs w:val="32"/>
        </w:rPr>
        <w:t>%</w:t>
      </w:r>
      <w:r>
        <w:rPr>
          <w:rFonts w:ascii="Times New Roman" w:hAnsi="Times New Roman" w:eastAsia="仿宋_GB2312" w:cs="Times New Roman"/>
          <w:kern w:val="0"/>
          <w:sz w:val="32"/>
          <w:szCs w:val="32"/>
        </w:rPr>
        <w:t>，绩效自评得分</w:t>
      </w:r>
      <w:r>
        <w:rPr>
          <w:rFonts w:hint="eastAsia" w:ascii="Times New Roman" w:hAnsi="Times New Roman" w:eastAsia="仿宋_GB2312" w:cs="Times New Roman"/>
          <w:sz w:val="32"/>
          <w:szCs w:val="32"/>
          <w:lang w:val="en-US" w:eastAsia="zh-CN"/>
        </w:rPr>
        <w:t>8.3</w:t>
      </w:r>
      <w:r>
        <w:rPr>
          <w:rFonts w:ascii="Times New Roman" w:hAnsi="Times New Roman" w:eastAsia="仿宋_GB2312" w:cs="Times New Roman"/>
          <w:sz w:val="32"/>
          <w:szCs w:val="32"/>
        </w:rPr>
        <w:t>分</w:t>
      </w:r>
      <w:r>
        <w:rPr>
          <w:rFonts w:ascii="Times New Roman" w:hAnsi="Times New Roman" w:eastAsia="仿宋_GB2312" w:cs="Times New Roman"/>
          <w:kern w:val="0"/>
          <w:sz w:val="32"/>
          <w:szCs w:val="32"/>
        </w:rPr>
        <w:t>，</w:t>
      </w:r>
      <w:r>
        <w:rPr>
          <w:rFonts w:ascii="Times New Roman" w:hAnsi="Times New Roman" w:eastAsia="仿宋_GB2312" w:cs="Times New Roman"/>
          <w:kern w:val="0"/>
          <w:sz w:val="32"/>
          <w:szCs w:val="32"/>
          <w:highlight w:val="none"/>
        </w:rPr>
        <w:t>评价等级为</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良好</w:t>
      </w:r>
      <w:r>
        <w:rPr>
          <w:rFonts w:ascii="Times New Roman" w:hAnsi="Times New Roman" w:eastAsia="仿宋_GB2312" w:cs="Times New Roman"/>
          <w:sz w:val="32"/>
          <w:szCs w:val="32"/>
          <w:highlight w:val="none"/>
        </w:rPr>
        <w:t>”。</w:t>
      </w:r>
      <w:r>
        <w:rPr>
          <w:rFonts w:ascii="Times New Roman" w:hAnsi="Times New Roman" w:eastAsia="仿宋_GB2312" w:cs="Times New Roman"/>
          <w:sz w:val="32"/>
          <w:szCs w:val="32"/>
        </w:rPr>
        <w:t>绩效目标完成情况：一是</w:t>
      </w:r>
      <w:r>
        <w:rPr>
          <w:rFonts w:hint="eastAsia" w:ascii="Times New Roman" w:hAnsi="Times New Roman" w:eastAsia="仿宋_GB2312" w:cs="Times New Roman"/>
          <w:sz w:val="32"/>
          <w:szCs w:val="32"/>
        </w:rPr>
        <w:t>帮助创新主体缩短专利申请审查周期、提高专利申请质量，形成并培育高价值专利，守好知识产权全链条保护“第一关”，实现对先进制造和新材料产业的协调联动保护，推动知识产权与我省优势产业结合，助力产业发展</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二是</w:t>
      </w:r>
      <w:r>
        <w:rPr>
          <w:rFonts w:hint="eastAsia" w:ascii="Times New Roman" w:hAnsi="Times New Roman" w:eastAsia="仿宋_GB2312" w:cs="Times New Roman"/>
          <w:sz w:val="32"/>
          <w:szCs w:val="32"/>
        </w:rPr>
        <w:t>加强专利预审制度建设和预审人员能力提升，严格把控专利快速预审案件的质量</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提升创新主体的专利快速预审服务的知晓度，浓厚尊重知识、崇尚创新、诚信守法、公平竞争的知识产权文化理念</w:t>
      </w:r>
      <w:r>
        <w:rPr>
          <w:rFonts w:hint="eastAsia" w:ascii="Times New Roman" w:hAnsi="Times New Roman" w:eastAsia="仿宋_GB2312" w:cs="Times New Roman"/>
          <w:sz w:val="32"/>
          <w:szCs w:val="32"/>
          <w:lang w:eastAsia="zh-CN"/>
        </w:rPr>
        <w:t>；三是</w:t>
      </w:r>
      <w:r>
        <w:rPr>
          <w:rFonts w:hint="eastAsia" w:ascii="Times New Roman" w:hAnsi="Times New Roman" w:eastAsia="仿宋_GB2312" w:cs="Times New Roman"/>
          <w:sz w:val="32"/>
          <w:szCs w:val="32"/>
        </w:rPr>
        <w:t>为行政/司法部门、电商平台、企业组织、社会公众等，组织提供知识产权侵权判定意见书、维权援助意见书、专家咨询意见书及各类知识产权分析报告等</w:t>
      </w:r>
      <w:r>
        <w:rPr>
          <w:rFonts w:hint="eastAsia" w:ascii="Times New Roman" w:hAnsi="Times New Roman" w:eastAsia="仿宋_GB2312" w:cs="Times New Roman"/>
          <w:sz w:val="32"/>
          <w:szCs w:val="32"/>
          <w:lang w:val="en-US" w:eastAsia="zh-CN"/>
        </w:rPr>
        <w:t>120余</w:t>
      </w:r>
      <w:r>
        <w:rPr>
          <w:rFonts w:hint="eastAsia" w:ascii="Times New Roman" w:hAnsi="Times New Roman" w:eastAsia="仿宋_GB2312" w:cs="Times New Roman"/>
          <w:sz w:val="32"/>
          <w:szCs w:val="32"/>
        </w:rPr>
        <w:t>份</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四是提供其他知识产权公益服务，开展了维权援助专项活动、开展公益培训、面向社会组织提供知识产权纠纷仲裁调解等服务</w:t>
      </w:r>
      <w:r>
        <w:rPr>
          <w:rFonts w:hint="eastAsia" w:ascii="Times New Roman" w:hAnsi="Times New Roman" w:eastAsia="仿宋_GB2312" w:cs="Times New Roman"/>
          <w:sz w:val="32"/>
          <w:szCs w:val="32"/>
          <w:lang w:val="en-US" w:eastAsia="zh-CN"/>
        </w:rPr>
        <w:t>。</w:t>
      </w:r>
    </w:p>
    <w:p w14:paraId="0B305D5C">
      <w:pPr>
        <w:pStyle w:val="12"/>
        <w:overflowPunct w:val="0"/>
        <w:autoSpaceDE/>
        <w:autoSpaceDN/>
        <w:spacing w:line="600" w:lineRule="exact"/>
        <w:ind w:firstLine="640" w:firstLineChars="200"/>
        <w:jc w:val="both"/>
        <w:rPr>
          <w:rFonts w:hint="eastAsia" w:ascii="Times New Roman" w:hAnsi="Times New Roman" w:eastAsia="仿宋_GB2312" w:cs="Times New Roman"/>
          <w:color w:val="auto"/>
          <w:sz w:val="32"/>
          <w:szCs w:val="32"/>
        </w:rPr>
      </w:pPr>
      <w:r>
        <w:rPr>
          <w:rFonts w:ascii="Times New Roman" w:hAnsi="Times New Roman" w:eastAsia="楷体_GB2312" w:cs="Times New Roman"/>
          <w:b/>
          <w:bCs/>
          <w:color w:val="auto"/>
          <w:kern w:val="2"/>
          <w:sz w:val="32"/>
          <w:szCs w:val="32"/>
        </w:rPr>
        <w:t>（三）评价结果应用情况。</w:t>
      </w:r>
      <w:r>
        <w:rPr>
          <w:rFonts w:hint="eastAsia" w:ascii="Times New Roman" w:hAnsi="Times New Roman" w:eastAsia="仿宋_GB2312" w:cs="Times New Roman"/>
          <w:color w:val="auto"/>
          <w:sz w:val="32"/>
          <w:szCs w:val="32"/>
        </w:rPr>
        <w:t>通过开展2024年整体支出绩效评价工作，我</w:t>
      </w:r>
      <w:r>
        <w:rPr>
          <w:rFonts w:hint="eastAsia" w:ascii="Times New Roman" w:hAnsi="Times New Roman" w:eastAsia="仿宋_GB2312" w:cs="Times New Roman"/>
          <w:color w:val="auto"/>
          <w:sz w:val="32"/>
          <w:szCs w:val="32"/>
          <w:lang w:eastAsia="zh-CN"/>
        </w:rPr>
        <w:t>单位</w:t>
      </w:r>
      <w:r>
        <w:rPr>
          <w:rFonts w:hint="eastAsia" w:ascii="Times New Roman" w:hAnsi="Times New Roman" w:eastAsia="仿宋_GB2312" w:cs="Times New Roman"/>
          <w:color w:val="auto"/>
          <w:sz w:val="32"/>
          <w:szCs w:val="32"/>
        </w:rPr>
        <w:t>更好地推进</w:t>
      </w:r>
      <w:r>
        <w:rPr>
          <w:rFonts w:hint="eastAsia" w:ascii="Times New Roman" w:hAnsi="Times New Roman" w:eastAsia="仿宋_GB2312" w:cs="Times New Roman"/>
          <w:color w:val="auto"/>
          <w:sz w:val="32"/>
          <w:szCs w:val="32"/>
          <w:lang w:eastAsia="zh-CN"/>
        </w:rPr>
        <w:t>知识产权相关</w:t>
      </w:r>
      <w:r>
        <w:rPr>
          <w:rFonts w:hint="eastAsia" w:ascii="Times New Roman" w:hAnsi="Times New Roman" w:eastAsia="仿宋_GB2312" w:cs="Times New Roman"/>
          <w:color w:val="auto"/>
          <w:sz w:val="32"/>
          <w:szCs w:val="32"/>
        </w:rPr>
        <w:t>工作，高效使用预算资金。预算安排上，强化结果导向，优先保障和优化评价优良项目的预算，对评价结果一般的项目从严从紧安排，对低效无效支出原则上不予安排或大幅压减。支出结构上，大力调整优化，将评价反映出的资金沉淀和低效领域压减的经费，集中投向</w:t>
      </w:r>
      <w:r>
        <w:rPr>
          <w:rFonts w:hint="eastAsia" w:ascii="Times New Roman" w:hAnsi="Times New Roman" w:eastAsia="仿宋_GB2312" w:cs="Times New Roman"/>
          <w:color w:val="auto"/>
          <w:sz w:val="32"/>
          <w:szCs w:val="32"/>
          <w:lang w:eastAsia="zh-CN"/>
        </w:rPr>
        <w:t>重点领域</w:t>
      </w:r>
      <w:r>
        <w:rPr>
          <w:rFonts w:hint="eastAsia" w:ascii="Times New Roman" w:hAnsi="Times New Roman" w:eastAsia="仿宋_GB2312" w:cs="Times New Roman"/>
          <w:color w:val="auto"/>
          <w:sz w:val="32"/>
          <w:szCs w:val="32"/>
        </w:rPr>
        <w:t>。资金管理上，将评价结果作为改进管理的重要依据，针对评价暴露出的薄弱环节，完善项目资金分配、使用、监管全流程机制，切实提升资金使用效益和执行效率。制度建设上，健全绩效评价结果与预算安排和政策调整的实质性挂钩机制，完善内部绩效管理制度，强化绩效责任约束，推动形成“评管结合、以评促优”的长效管理机制。</w:t>
      </w:r>
    </w:p>
    <w:p w14:paraId="04A276CB">
      <w:pPr>
        <w:pStyle w:val="12"/>
        <w:jc w:val="center"/>
        <w:rPr>
          <w:rFonts w:ascii="Times New Roman" w:hAnsi="Times New Roman" w:cs="Times New Roman"/>
          <w:sz w:val="72"/>
          <w:szCs w:val="72"/>
        </w:rPr>
      </w:pPr>
    </w:p>
    <w:p w14:paraId="68CCD591">
      <w:pPr>
        <w:pStyle w:val="12"/>
        <w:jc w:val="center"/>
        <w:rPr>
          <w:rFonts w:ascii="Times New Roman" w:hAnsi="Times New Roman" w:cs="Times New Roman"/>
          <w:sz w:val="72"/>
          <w:szCs w:val="72"/>
        </w:rPr>
      </w:pPr>
    </w:p>
    <w:p w14:paraId="0FE246ED">
      <w:pPr>
        <w:pStyle w:val="12"/>
        <w:spacing w:line="360" w:lineRule="auto"/>
        <w:jc w:val="both"/>
        <w:rPr>
          <w:rFonts w:ascii="Times New Roman" w:hAnsi="Times New Roman" w:eastAsia="方正小标宋_GBK" w:cs="Times New Roman"/>
          <w:sz w:val="52"/>
          <w:szCs w:val="52"/>
        </w:rPr>
      </w:pPr>
    </w:p>
    <w:p w14:paraId="38DD6C6B">
      <w:pPr>
        <w:pStyle w:val="12"/>
        <w:spacing w:line="360" w:lineRule="auto"/>
        <w:jc w:val="both"/>
        <w:rPr>
          <w:rFonts w:ascii="Times New Roman" w:hAnsi="Times New Roman" w:eastAsia="方正小标宋_GBK" w:cs="Times New Roman"/>
          <w:sz w:val="52"/>
          <w:szCs w:val="52"/>
        </w:rPr>
      </w:pPr>
    </w:p>
    <w:p w14:paraId="397F5B5D">
      <w:pPr>
        <w:pStyle w:val="12"/>
        <w:spacing w:line="360" w:lineRule="auto"/>
        <w:jc w:val="both"/>
        <w:rPr>
          <w:rFonts w:ascii="Times New Roman" w:hAnsi="Times New Roman" w:eastAsia="方正小标宋_GBK" w:cs="Times New Roman"/>
          <w:sz w:val="52"/>
          <w:szCs w:val="52"/>
        </w:rPr>
      </w:pPr>
    </w:p>
    <w:p w14:paraId="5978E294">
      <w:pPr>
        <w:pStyle w:val="12"/>
        <w:spacing w:line="360" w:lineRule="auto"/>
        <w:jc w:val="both"/>
        <w:rPr>
          <w:rFonts w:ascii="Times New Roman" w:hAnsi="Times New Roman" w:eastAsia="方正小标宋_GBK" w:cs="Times New Roman"/>
          <w:sz w:val="52"/>
          <w:szCs w:val="52"/>
        </w:rPr>
      </w:pPr>
    </w:p>
    <w:p w14:paraId="4C70EC31">
      <w:pPr>
        <w:pStyle w:val="12"/>
        <w:spacing w:line="360" w:lineRule="auto"/>
        <w:jc w:val="center"/>
        <w:rPr>
          <w:rFonts w:ascii="Times New Roman" w:hAnsi="Times New Roman" w:eastAsia="方正小标宋_GBK" w:cs="Times New Roman"/>
          <w:sz w:val="52"/>
          <w:szCs w:val="52"/>
        </w:rPr>
      </w:pPr>
    </w:p>
    <w:p w14:paraId="715AD95E">
      <w:pPr>
        <w:pStyle w:val="12"/>
        <w:spacing w:line="360" w:lineRule="auto"/>
        <w:jc w:val="center"/>
        <w:rPr>
          <w:rFonts w:ascii="Times New Roman" w:hAnsi="Times New Roman" w:cs="Times New Roman"/>
          <w:color w:val="000000"/>
          <w:kern w:val="0"/>
          <w:sz w:val="32"/>
          <w:szCs w:val="32"/>
        </w:rPr>
      </w:pPr>
      <w:r>
        <w:rPr>
          <w:rFonts w:ascii="Times New Roman" w:hAnsi="Times New Roman" w:eastAsia="方正小标宋_GBK" w:cs="Times New Roman"/>
          <w:sz w:val="52"/>
          <w:szCs w:val="52"/>
        </w:rPr>
        <w:t>第四部分    名词解释</w:t>
      </w:r>
    </w:p>
    <w:p w14:paraId="4FB72892">
      <w:pPr>
        <w:pStyle w:val="12"/>
        <w:spacing w:line="600" w:lineRule="exact"/>
        <w:ind w:firstLine="640" w:firstLineChars="200"/>
        <w:jc w:val="both"/>
        <w:rPr>
          <w:rFonts w:hint="eastAsia" w:ascii="Times New Roman" w:hAnsi="Times New Roman" w:eastAsia="仿宋_GB2312" w:cs="Times New Roman"/>
          <w:color w:val="000000"/>
          <w:kern w:val="0"/>
          <w:sz w:val="32"/>
          <w:szCs w:val="32"/>
        </w:rPr>
      </w:pPr>
    </w:p>
    <w:p w14:paraId="08AA518F">
      <w:pPr>
        <w:pStyle w:val="12"/>
        <w:spacing w:line="600" w:lineRule="exact"/>
        <w:ind w:firstLine="640" w:firstLineChars="200"/>
        <w:jc w:val="both"/>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rPr>
        <w:t>一、财政预算拨款收入</w:t>
      </w:r>
      <w:r>
        <w:rPr>
          <w:rFonts w:hint="eastAsia" w:ascii="Times New Roman" w:hAnsi="Times New Roman" w:eastAsia="仿宋_GB2312" w:cs="Times New Roman"/>
          <w:color w:val="000000"/>
          <w:kern w:val="0"/>
          <w:sz w:val="32"/>
          <w:szCs w:val="32"/>
          <w:lang w:eastAsia="zh-CN"/>
        </w:rPr>
        <w:t>：指</w:t>
      </w:r>
      <w:r>
        <w:rPr>
          <w:rFonts w:hint="eastAsia" w:ascii="Times New Roman" w:hAnsi="Times New Roman" w:eastAsia="仿宋_GB2312" w:cs="Times New Roman"/>
          <w:color w:val="000000"/>
          <w:kern w:val="0"/>
          <w:sz w:val="32"/>
          <w:szCs w:val="32"/>
        </w:rPr>
        <w:t>财政部门核拨给行政单位及预算单位的财政预算资金</w:t>
      </w:r>
      <w:r>
        <w:rPr>
          <w:rFonts w:hint="eastAsia" w:ascii="Times New Roman" w:hAnsi="Times New Roman" w:eastAsia="仿宋_GB2312" w:cs="Times New Roman"/>
          <w:color w:val="000000"/>
          <w:kern w:val="0"/>
          <w:sz w:val="32"/>
          <w:szCs w:val="32"/>
          <w:lang w:eastAsia="zh-CN"/>
        </w:rPr>
        <w:t>。</w:t>
      </w:r>
    </w:p>
    <w:p w14:paraId="337ECA4E">
      <w:pPr>
        <w:pStyle w:val="12"/>
        <w:spacing w:line="600" w:lineRule="exact"/>
        <w:ind w:firstLine="640" w:firstLineChars="200"/>
        <w:jc w:val="both"/>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eastAsia="zh-CN"/>
        </w:rPr>
        <w:t>二、</w:t>
      </w:r>
      <w:r>
        <w:rPr>
          <w:rFonts w:hint="eastAsia" w:ascii="Times New Roman" w:hAnsi="Times New Roman" w:eastAsia="仿宋_GB2312" w:cs="Times New Roman"/>
          <w:color w:val="000000"/>
          <w:kern w:val="0"/>
          <w:sz w:val="32"/>
          <w:szCs w:val="32"/>
        </w:rPr>
        <w:t>上级补助收入：指从主管部门和上级单位取得的非财政补助收入。</w:t>
      </w:r>
    </w:p>
    <w:p w14:paraId="1C5D0CE4">
      <w:pPr>
        <w:pStyle w:val="12"/>
        <w:spacing w:line="600" w:lineRule="exact"/>
        <w:ind w:firstLine="640" w:firstLineChars="200"/>
        <w:jc w:val="both"/>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三、事业收入：指事业单位开展专业业务活动及其辅助活动取得的收入。</w:t>
      </w:r>
    </w:p>
    <w:p w14:paraId="655FD197">
      <w:pPr>
        <w:pStyle w:val="12"/>
        <w:spacing w:line="600" w:lineRule="exact"/>
        <w:ind w:firstLine="640" w:firstLineChars="200"/>
        <w:jc w:val="both"/>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四、年初结转和结余：指以前年度尚未完成、结转到本年仍按原规定用途继续使用的资金，或项目已完成等产生的结余资金。</w:t>
      </w:r>
    </w:p>
    <w:p w14:paraId="7638A550">
      <w:pPr>
        <w:pStyle w:val="12"/>
        <w:spacing w:line="600" w:lineRule="exact"/>
        <w:ind w:firstLine="640" w:firstLineChars="200"/>
        <w:jc w:val="both"/>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eastAsia="zh-CN"/>
        </w:rPr>
        <w:t>五、</w:t>
      </w:r>
      <w:r>
        <w:rPr>
          <w:rFonts w:hint="eastAsia" w:ascii="Times New Roman" w:hAnsi="Times New Roman" w:eastAsia="仿宋_GB2312" w:cs="Times New Roman"/>
          <w:color w:val="000000"/>
          <w:kern w:val="0"/>
          <w:sz w:val="32"/>
          <w:szCs w:val="32"/>
        </w:rPr>
        <w:t>基本支出：指</w:t>
      </w:r>
      <w:r>
        <w:rPr>
          <w:rFonts w:hint="eastAsia" w:ascii="Times New Roman" w:hAnsi="Times New Roman" w:eastAsia="仿宋_GB2312" w:cs="Times New Roman"/>
          <w:color w:val="000000"/>
          <w:kern w:val="0"/>
          <w:sz w:val="32"/>
          <w:szCs w:val="32"/>
          <w:lang w:eastAsia="zh-CN"/>
        </w:rPr>
        <w:t>单位</w:t>
      </w:r>
      <w:r>
        <w:rPr>
          <w:rFonts w:hint="eastAsia" w:ascii="Times New Roman" w:hAnsi="Times New Roman" w:eastAsia="仿宋_GB2312" w:cs="Times New Roman"/>
          <w:color w:val="000000"/>
          <w:kern w:val="0"/>
          <w:sz w:val="32"/>
          <w:szCs w:val="32"/>
        </w:rPr>
        <w:t>为保障机构正常运转、完成日常工作任务而发生的各项支出，包括人员支出和公用支出。  </w:t>
      </w:r>
    </w:p>
    <w:p w14:paraId="38DD9AB9">
      <w:pPr>
        <w:pStyle w:val="12"/>
        <w:spacing w:line="600" w:lineRule="exact"/>
        <w:ind w:firstLine="640" w:firstLineChars="200"/>
        <w:jc w:val="both"/>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eastAsia="zh-CN"/>
        </w:rPr>
        <w:t>六</w:t>
      </w:r>
      <w:r>
        <w:rPr>
          <w:rFonts w:hint="eastAsia" w:ascii="Times New Roman" w:hAnsi="Times New Roman" w:eastAsia="仿宋_GB2312" w:cs="Times New Roman"/>
          <w:color w:val="000000"/>
          <w:kern w:val="0"/>
          <w:sz w:val="32"/>
          <w:szCs w:val="32"/>
        </w:rPr>
        <w:t>、项目支出：指在基本支出以外为完成相关行政任务和事业发展目标所发生的各项支出。</w:t>
      </w:r>
    </w:p>
    <w:p w14:paraId="48EAE14F">
      <w:pPr>
        <w:pStyle w:val="12"/>
        <w:spacing w:line="600" w:lineRule="exact"/>
        <w:ind w:firstLine="640" w:firstLineChars="200"/>
        <w:jc w:val="both"/>
        <w:rPr>
          <w:rFonts w:ascii="Times New Roman" w:hAnsi="Times New Roman" w:eastAsia="楷体_GB2312" w:cs="Times New Roman"/>
          <w:b/>
          <w:bCs/>
          <w:i/>
          <w:color w:val="auto"/>
          <w:sz w:val="32"/>
          <w:szCs w:val="32"/>
        </w:rPr>
      </w:pPr>
      <w:r>
        <w:rPr>
          <w:rFonts w:hint="eastAsia" w:ascii="Times New Roman" w:hAnsi="Times New Roman" w:eastAsia="仿宋_GB2312" w:cs="Times New Roman"/>
          <w:color w:val="000000"/>
          <w:kern w:val="0"/>
          <w:sz w:val="32"/>
          <w:szCs w:val="32"/>
          <w:lang w:eastAsia="zh-CN"/>
        </w:rPr>
        <w:t>七</w:t>
      </w:r>
      <w:r>
        <w:rPr>
          <w:rFonts w:hint="eastAsia" w:ascii="Times New Roman" w:hAnsi="Times New Roman" w:eastAsia="仿宋_GB2312" w:cs="Times New Roman"/>
          <w:color w:val="000000"/>
          <w:kern w:val="0"/>
          <w:sz w:val="32"/>
          <w:szCs w:val="32"/>
        </w:rPr>
        <w:t>、“三公”经费：指通过财政拨款资金安排的因公出国（境）费、公务用车购置及运行费和公务接待费支出。其中：因公出国（境）费指单位工作人员公务出国（境）的往返机票费、住宿费、伙食费、培训费等支出；公务用车购置及运行费指单位购置公务用车支出及公务用车使用过程中发生的租用费、燃料费、维修费、过路过桥费、保险费等支出；公务接待费指单位按规定开支的各类公务接待（含外宾接待）支出。</w:t>
      </w:r>
    </w:p>
    <w:p w14:paraId="04DD9C62">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Times New Roman" w:hAnsi="Times New Roman" w:eastAsia="仿宋_GB2312" w:cs="Times New Roman"/>
          <w:color w:val="000000"/>
          <w:kern w:val="0"/>
          <w:sz w:val="32"/>
          <w:szCs w:val="32"/>
          <w:lang w:eastAsia="zh-CN"/>
        </w:rPr>
        <w:t>八、一般公共</w:t>
      </w:r>
      <w:r>
        <w:rPr>
          <w:rFonts w:hint="eastAsia" w:ascii="仿宋_GB2312" w:hAnsi="仿宋_GB2312" w:eastAsia="仿宋_GB2312" w:cs="仿宋_GB2312"/>
          <w:sz w:val="32"/>
          <w:szCs w:val="32"/>
        </w:rPr>
        <w:t>服务（类）知识产权事务（款）知识产权战略和规划（项）</w:t>
      </w:r>
      <w:r>
        <w:rPr>
          <w:rFonts w:hint="eastAsia" w:ascii="仿宋_GB2312" w:hAnsi="仿宋_GB2312" w:eastAsia="仿宋_GB2312" w:cs="仿宋_GB2312"/>
          <w:sz w:val="32"/>
          <w:szCs w:val="32"/>
          <w:lang w:eastAsia="zh-CN"/>
        </w:rPr>
        <w:t>：反映知识产权战略和规划的制定、实施、评估和统计监测等方面的支出。</w:t>
      </w:r>
    </w:p>
    <w:p w14:paraId="00CCAB9B">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九、一般公共服务支出（类）市场监督管理事务（款）事业运行（项）：反映事业单位的基本支出，不包括行政单位（包括实行公务员管理的事业单位）后勤服务中心、医务室等附属事业单位。</w:t>
      </w:r>
    </w:p>
    <w:p w14:paraId="61B1C8BF">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十、教育支出（类)进修及培训（款）培训支出（项）：反映各部门安排的用于培训的支出。教育部门的师资培训，党校、行政学院等专业干部教育机构的支出，以及退役士兵、转业士官的培训支出，不在科目反映。</w:t>
      </w:r>
    </w:p>
    <w:p w14:paraId="75384A0D">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十一、社会保障和就业支出（类）行政事业单位养老支出（款）机关事业单位基本养老保险缴费支出（项）：反映机关事业单位实施养老保险制度由单位缴纳的基本养老保险费支出。</w:t>
      </w:r>
    </w:p>
    <w:p w14:paraId="68CF4F91">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both"/>
        <w:textAlignment w:val="auto"/>
        <w:rPr>
          <w:rFonts w:hint="eastAsia" w:ascii="Times New Roman" w:hAnsi="Times New Roman" w:eastAsia="仿宋_GB2312" w:cs="Times New Roman"/>
          <w:color w:val="000000"/>
          <w:kern w:val="0"/>
          <w:sz w:val="32"/>
          <w:szCs w:val="32"/>
          <w:lang w:eastAsia="zh-CN"/>
        </w:rPr>
      </w:pPr>
      <w:r>
        <w:rPr>
          <w:rFonts w:hint="eastAsia" w:ascii="Times New Roman" w:hAnsi="Times New Roman" w:eastAsia="仿宋_GB2312" w:cs="Times New Roman"/>
          <w:color w:val="000000"/>
          <w:kern w:val="0"/>
          <w:sz w:val="32"/>
          <w:szCs w:val="32"/>
          <w:lang w:eastAsia="zh-CN"/>
        </w:rPr>
        <w:t>十二、住房保障支出（类）住房改革支出（款）住房公积金（项）：反映行政事业单位按人力资源和社会保障部、财政部规定的基本工资和津贴补贴以及规定比例为职工缴纳的住房公积金。</w:t>
      </w:r>
    </w:p>
    <w:p w14:paraId="000E0000">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Times New Roman" w:hAnsi="Times New Roman" w:eastAsia="仿宋_GB2312" w:cs="Times New Roman"/>
          <w:color w:val="000000"/>
          <w:kern w:val="0"/>
          <w:sz w:val="32"/>
          <w:szCs w:val="32"/>
          <w:lang w:eastAsia="zh-CN"/>
        </w:rPr>
      </w:pPr>
    </w:p>
    <w:p w14:paraId="74E27B88">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Times New Roman" w:hAnsi="Times New Roman" w:eastAsia="仿宋_GB2312" w:cs="Times New Roman"/>
          <w:color w:val="000000"/>
          <w:kern w:val="0"/>
          <w:sz w:val="32"/>
          <w:szCs w:val="32"/>
          <w:lang w:eastAsia="zh-CN"/>
        </w:rPr>
      </w:pPr>
    </w:p>
    <w:p w14:paraId="0FECA7D9">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Times New Roman" w:hAnsi="Times New Roman" w:eastAsia="仿宋_GB2312" w:cs="Times New Roman"/>
          <w:color w:val="000000"/>
          <w:kern w:val="0"/>
          <w:sz w:val="32"/>
          <w:szCs w:val="32"/>
          <w:lang w:eastAsia="zh-CN"/>
        </w:rPr>
      </w:pPr>
    </w:p>
    <w:p w14:paraId="24E39276">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jc w:val="left"/>
        <w:textAlignment w:val="auto"/>
        <w:rPr>
          <w:rFonts w:hint="eastAsia" w:ascii="Times New Roman" w:hAnsi="Times New Roman" w:eastAsia="仿宋_GB2312" w:cs="Times New Roman"/>
          <w:color w:val="000000"/>
          <w:kern w:val="0"/>
          <w:sz w:val="32"/>
          <w:szCs w:val="32"/>
          <w:lang w:eastAsia="zh-CN"/>
        </w:rPr>
      </w:pPr>
    </w:p>
    <w:p w14:paraId="4097112A">
      <w:pPr>
        <w:pStyle w:val="12"/>
        <w:spacing w:line="360" w:lineRule="auto"/>
        <w:jc w:val="center"/>
        <w:rPr>
          <w:rFonts w:ascii="Times New Roman" w:hAnsi="Times New Roman" w:eastAsia="方正小标宋_GBK" w:cs="Times New Roman"/>
          <w:sz w:val="52"/>
          <w:szCs w:val="52"/>
        </w:rPr>
      </w:pPr>
    </w:p>
    <w:p w14:paraId="35E2975B">
      <w:pPr>
        <w:pStyle w:val="12"/>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第五部分   附 件</w:t>
      </w:r>
    </w:p>
    <w:p w14:paraId="22F31C30">
      <w:pPr>
        <w:rPr>
          <w:rFonts w:ascii="Times New Roman" w:hAnsi="Times New Roman" w:cs="Times New Roman"/>
          <w:sz w:val="72"/>
          <w:szCs w:val="72"/>
        </w:rPr>
      </w:pPr>
    </w:p>
    <w:p w14:paraId="01C94B92">
      <w:pPr>
        <w:pStyle w:val="12"/>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一、</w:t>
      </w:r>
      <w:r>
        <w:rPr>
          <w:rFonts w:ascii="Times New Roman" w:hAnsi="Times New Roman" w:eastAsia="仿宋_GB2312" w:cs="Times New Roman"/>
          <w:sz w:val="32"/>
          <w:szCs w:val="32"/>
        </w:rPr>
        <w:t>2024年度单位整体支出绩效自评报告。</w:t>
      </w:r>
    </w:p>
    <w:p w14:paraId="7DEC3BA7">
      <w:pPr>
        <w:pStyle w:val="12"/>
        <w:spacing w:line="600" w:lineRule="exact"/>
        <w:ind w:firstLine="640" w:firstLineChars="200"/>
        <w:rPr>
          <w:rFonts w:ascii="Times New Roman" w:hAnsi="Times New Roman" w:eastAsia="仿宋_GB2312" w:cs="Times New Roman"/>
          <w:sz w:val="32"/>
          <w:szCs w:val="32"/>
        </w:rPr>
      </w:pPr>
    </w:p>
    <w:p w14:paraId="43F6B018">
      <w:pPr>
        <w:jc w:val="left"/>
        <w:rPr>
          <w:rFonts w:ascii="Times New Roman" w:hAnsi="Times New Roman" w:cs="Times New Roman"/>
          <w:color w:val="000000"/>
          <w:kern w:val="0"/>
          <w:sz w:val="32"/>
          <w:szCs w:val="32"/>
        </w:rPr>
      </w:pPr>
    </w:p>
    <w:p w14:paraId="2CC4717E">
      <w:pPr>
        <w:pStyle w:val="2"/>
        <w:rPr>
          <w:rFonts w:ascii="Times New Roman" w:hAnsi="Times New Roman" w:cs="Times New Roman"/>
          <w:color w:val="000000"/>
          <w:kern w:val="0"/>
          <w:sz w:val="32"/>
          <w:szCs w:val="32"/>
        </w:rPr>
      </w:pPr>
    </w:p>
    <w:p w14:paraId="0ADB7005">
      <w:pPr>
        <w:pStyle w:val="3"/>
        <w:rPr>
          <w:rFonts w:ascii="Times New Roman" w:hAnsi="Times New Roman" w:cs="Times New Roman"/>
          <w:color w:val="000000"/>
          <w:kern w:val="0"/>
          <w:sz w:val="32"/>
          <w:szCs w:val="32"/>
        </w:rPr>
      </w:pPr>
    </w:p>
    <w:p w14:paraId="4020EF10">
      <w:pPr>
        <w:rPr>
          <w:rFonts w:ascii="Times New Roman" w:hAnsi="Times New Roman" w:cs="Times New Roman"/>
          <w:color w:val="000000"/>
          <w:kern w:val="0"/>
          <w:sz w:val="32"/>
          <w:szCs w:val="32"/>
        </w:rPr>
      </w:pPr>
    </w:p>
    <w:p w14:paraId="7FE574FA">
      <w:pPr>
        <w:pStyle w:val="2"/>
        <w:rPr>
          <w:rFonts w:ascii="Times New Roman" w:hAnsi="Times New Roman" w:cs="Times New Roman"/>
          <w:color w:val="000000"/>
          <w:kern w:val="0"/>
          <w:sz w:val="32"/>
          <w:szCs w:val="32"/>
        </w:rPr>
      </w:pPr>
    </w:p>
    <w:p w14:paraId="7255DF0A">
      <w:pPr>
        <w:pStyle w:val="3"/>
        <w:rPr>
          <w:rFonts w:ascii="Times New Roman" w:hAnsi="Times New Roman" w:cs="Times New Roman"/>
          <w:color w:val="000000"/>
          <w:kern w:val="0"/>
          <w:sz w:val="32"/>
          <w:szCs w:val="32"/>
        </w:rPr>
      </w:pPr>
    </w:p>
    <w:p w14:paraId="405A3A56">
      <w:pPr>
        <w:rPr>
          <w:rFonts w:ascii="Times New Roman" w:hAnsi="Times New Roman" w:cs="Times New Roman"/>
          <w:color w:val="000000"/>
          <w:kern w:val="0"/>
          <w:sz w:val="32"/>
          <w:szCs w:val="32"/>
        </w:rPr>
      </w:pPr>
    </w:p>
    <w:p w14:paraId="5ADF91F8">
      <w:pPr>
        <w:pStyle w:val="2"/>
        <w:rPr>
          <w:rFonts w:ascii="Times New Roman" w:hAnsi="Times New Roman" w:cs="Times New Roman"/>
          <w:color w:val="000000"/>
          <w:kern w:val="0"/>
          <w:sz w:val="32"/>
          <w:szCs w:val="32"/>
        </w:rPr>
      </w:pPr>
    </w:p>
    <w:p w14:paraId="1C5FCDD8">
      <w:pPr>
        <w:pStyle w:val="3"/>
        <w:rPr>
          <w:rFonts w:ascii="Times New Roman" w:hAnsi="Times New Roman" w:cs="Times New Roman"/>
          <w:color w:val="000000"/>
          <w:kern w:val="0"/>
          <w:sz w:val="32"/>
          <w:szCs w:val="32"/>
        </w:rPr>
      </w:pPr>
    </w:p>
    <w:p w14:paraId="46A1C967">
      <w:pPr>
        <w:rPr>
          <w:rFonts w:ascii="Times New Roman" w:hAnsi="Times New Roman" w:cs="Times New Roman"/>
          <w:color w:val="000000"/>
          <w:kern w:val="0"/>
          <w:sz w:val="32"/>
          <w:szCs w:val="32"/>
        </w:rPr>
      </w:pPr>
    </w:p>
    <w:p w14:paraId="7792DB14">
      <w:pPr>
        <w:pStyle w:val="2"/>
        <w:rPr>
          <w:rFonts w:ascii="Times New Roman" w:hAnsi="Times New Roman" w:cs="Times New Roman"/>
          <w:color w:val="000000"/>
          <w:kern w:val="0"/>
          <w:sz w:val="32"/>
          <w:szCs w:val="32"/>
        </w:rPr>
      </w:pPr>
    </w:p>
    <w:p w14:paraId="31EC1E29">
      <w:pPr>
        <w:pStyle w:val="3"/>
        <w:rPr>
          <w:rFonts w:ascii="Times New Roman" w:hAnsi="Times New Roman" w:cs="Times New Roman"/>
          <w:color w:val="000000"/>
          <w:kern w:val="0"/>
          <w:sz w:val="32"/>
          <w:szCs w:val="32"/>
        </w:rPr>
      </w:pPr>
    </w:p>
    <w:p w14:paraId="14DC4A8F">
      <w:pPr>
        <w:rPr>
          <w:rFonts w:ascii="Times New Roman" w:hAnsi="Times New Roman" w:cs="Times New Roman"/>
          <w:color w:val="000000"/>
          <w:kern w:val="0"/>
          <w:sz w:val="32"/>
          <w:szCs w:val="32"/>
        </w:rPr>
      </w:pPr>
    </w:p>
    <w:p w14:paraId="2370F628">
      <w:pPr>
        <w:widowControl/>
        <w:kinsoku w:val="0"/>
        <w:autoSpaceDE/>
        <w:autoSpaceDN/>
        <w:adjustRightInd w:val="0"/>
        <w:snapToGrid w:val="0"/>
        <w:spacing w:line="625" w:lineRule="exact"/>
        <w:ind w:firstLine="0" w:firstLineChars="0"/>
        <w:jc w:val="both"/>
        <w:textAlignment w:val="baseline"/>
        <w:rPr>
          <w:rFonts w:hint="eastAsia" w:ascii="Times New Roman" w:hAnsi="Times New Roman" w:eastAsia="方正小标宋_GBK" w:cs="Times New Roman"/>
          <w:snapToGrid w:val="0"/>
          <w:color w:val="auto"/>
          <w:kern w:val="0"/>
          <w:sz w:val="44"/>
          <w:szCs w:val="44"/>
          <w:lang w:eastAsia="zh-CN"/>
        </w:rPr>
      </w:pPr>
    </w:p>
    <w:p w14:paraId="5D153D86">
      <w:pPr>
        <w:widowControl/>
        <w:kinsoku w:val="0"/>
        <w:autoSpaceDE/>
        <w:autoSpaceDN/>
        <w:adjustRightInd w:val="0"/>
        <w:snapToGrid w:val="0"/>
        <w:spacing w:line="625" w:lineRule="exact"/>
        <w:ind w:firstLine="0" w:firstLineChars="0"/>
        <w:jc w:val="center"/>
        <w:textAlignment w:val="baseline"/>
        <w:rPr>
          <w:rFonts w:ascii="Times New Roman" w:hAnsi="Times New Roman" w:eastAsia="方正小标宋_GBK" w:cs="Times New Roman"/>
          <w:snapToGrid w:val="0"/>
          <w:color w:val="auto"/>
          <w:kern w:val="0"/>
          <w:sz w:val="44"/>
          <w:szCs w:val="44"/>
        </w:rPr>
      </w:pPr>
      <w:r>
        <w:rPr>
          <w:rFonts w:hint="eastAsia" w:ascii="Times New Roman" w:hAnsi="Times New Roman" w:eastAsia="方正小标宋_GBK" w:cs="Times New Roman"/>
          <w:snapToGrid w:val="0"/>
          <w:color w:val="auto"/>
          <w:kern w:val="0"/>
          <w:sz w:val="44"/>
          <w:szCs w:val="44"/>
          <w:lang w:eastAsia="zh-CN"/>
        </w:rPr>
        <w:t>2024</w:t>
      </w:r>
      <w:r>
        <w:rPr>
          <w:rFonts w:ascii="Times New Roman" w:hAnsi="Times New Roman" w:eastAsia="方正小标宋_GBK" w:cs="Times New Roman"/>
          <w:snapToGrid w:val="0"/>
          <w:color w:val="auto"/>
          <w:kern w:val="0"/>
          <w:sz w:val="44"/>
          <w:szCs w:val="44"/>
        </w:rPr>
        <w:t>年度</w:t>
      </w:r>
      <w:r>
        <w:rPr>
          <w:rFonts w:hint="eastAsia" w:ascii="Times New Roman" w:hAnsi="Times New Roman" w:eastAsia="方正小标宋_GBK" w:cs="Times New Roman"/>
          <w:snapToGrid w:val="0"/>
          <w:color w:val="auto"/>
          <w:kern w:val="0"/>
          <w:sz w:val="44"/>
          <w:szCs w:val="44"/>
          <w:lang w:eastAsia="zh-CN"/>
        </w:rPr>
        <w:t>湖南省知识产权中心单位</w:t>
      </w:r>
      <w:r>
        <w:rPr>
          <w:rFonts w:ascii="Times New Roman" w:hAnsi="Times New Roman" w:eastAsia="方正小标宋_GBK" w:cs="Times New Roman"/>
          <w:snapToGrid w:val="0"/>
          <w:color w:val="auto"/>
          <w:kern w:val="0"/>
          <w:sz w:val="44"/>
          <w:szCs w:val="44"/>
        </w:rPr>
        <w:t>整体支出绩效自评报告</w:t>
      </w:r>
    </w:p>
    <w:p w14:paraId="5B2CB408">
      <w:pPr>
        <w:keepNext w:val="0"/>
        <w:keepLines w:val="0"/>
        <w:pageBreakBefore w:val="0"/>
        <w:wordWrap/>
        <w:overflowPunct/>
        <w:autoSpaceDE/>
        <w:autoSpaceDN/>
        <w:bidi w:val="0"/>
        <w:spacing w:line="625" w:lineRule="exact"/>
        <w:ind w:firstLine="0" w:firstLineChars="0"/>
        <w:jc w:val="both"/>
        <w:rPr>
          <w:rFonts w:hint="eastAsia" w:ascii="Times New Roman" w:hAnsi="Times New Roman" w:eastAsia="仿宋_GB2312" w:cs="Times New Roman"/>
          <w:color w:val="auto"/>
          <w:sz w:val="32"/>
          <w:szCs w:val="32"/>
        </w:rPr>
      </w:pPr>
    </w:p>
    <w:p w14:paraId="4B23E279">
      <w:pPr>
        <w:keepNext w:val="0"/>
        <w:keepLines w:val="0"/>
        <w:pageBreakBefore w:val="0"/>
        <w:widowControl w:val="0"/>
        <w:numPr>
          <w:ilvl w:val="0"/>
          <w:numId w:val="4"/>
        </w:numPr>
        <w:kinsoku/>
        <w:wordWrap/>
        <w:overflowPunct/>
        <w:topLinePunct w:val="0"/>
        <w:autoSpaceDE/>
        <w:autoSpaceDN/>
        <w:bidi w:val="0"/>
        <w:adjustRightInd/>
        <w:snapToGrid/>
        <w:spacing w:beforeAutospacing="0" w:afterAutospacing="0" w:line="600" w:lineRule="exact"/>
        <w:ind w:firstLine="640" w:firstLineChars="200"/>
        <w:jc w:val="both"/>
        <w:textAlignment w:val="auto"/>
        <w:outlineLvl w:val="0"/>
        <w:rPr>
          <w:rFonts w:hint="eastAsia" w:ascii="Times New Roman" w:hAnsi="Times New Roman" w:eastAsia="黑体" w:cs="Times New Roman"/>
          <w:snapToGrid w:val="0"/>
          <w:color w:val="000000"/>
          <w:kern w:val="44"/>
          <w:sz w:val="32"/>
          <w:szCs w:val="21"/>
          <w:lang w:val="en-US" w:eastAsia="zh-CN" w:bidi="ar-SA"/>
        </w:rPr>
      </w:pPr>
      <w:r>
        <w:rPr>
          <w:rFonts w:hint="eastAsia" w:ascii="Times New Roman" w:hAnsi="Times New Roman" w:eastAsia="黑体" w:cs="Times New Roman"/>
          <w:snapToGrid w:val="0"/>
          <w:color w:val="000000"/>
          <w:kern w:val="44"/>
          <w:sz w:val="32"/>
          <w:szCs w:val="21"/>
          <w:lang w:val="en-US" w:eastAsia="zh-CN" w:bidi="ar-SA"/>
        </w:rPr>
        <w:t>单位基本情况</w:t>
      </w:r>
    </w:p>
    <w:p w14:paraId="379C3730">
      <w:pPr>
        <w:keepNext w:val="0"/>
        <w:keepLines w:val="0"/>
        <w:pageBreakBefore w:val="0"/>
        <w:widowControl w:val="0"/>
        <w:numPr>
          <w:ilvl w:val="0"/>
          <w:numId w:val="5"/>
        </w:numPr>
        <w:kinsoku/>
        <w:wordWrap/>
        <w:overflowPunct/>
        <w:topLinePunct w:val="0"/>
        <w:autoSpaceDE/>
        <w:autoSpaceDN/>
        <w:bidi w:val="0"/>
        <w:adjustRightInd/>
        <w:snapToGrid w:val="0"/>
        <w:spacing w:line="560" w:lineRule="exact"/>
        <w:ind w:firstLine="640" w:firstLineChars="200"/>
        <w:jc w:val="both"/>
        <w:textAlignment w:val="auto"/>
        <w:rPr>
          <w:rFonts w:hint="eastAsia" w:ascii="楷体" w:hAnsi="楷体" w:eastAsia="楷体" w:cs="楷体"/>
          <w:b/>
          <w:bCs/>
          <w:snapToGrid/>
          <w:kern w:val="2"/>
          <w:sz w:val="32"/>
          <w:szCs w:val="32"/>
          <w:lang w:eastAsia="zh-CN"/>
        </w:rPr>
      </w:pPr>
      <w:r>
        <w:rPr>
          <w:rFonts w:hint="eastAsia" w:ascii="楷体" w:hAnsi="楷体" w:eastAsia="楷体" w:cs="楷体"/>
          <w:b/>
          <w:bCs/>
          <w:snapToGrid/>
          <w:kern w:val="2"/>
          <w:sz w:val="32"/>
          <w:szCs w:val="32"/>
          <w:lang w:eastAsia="zh-CN"/>
        </w:rPr>
        <w:t>职能职责</w:t>
      </w:r>
    </w:p>
    <w:p w14:paraId="47FBD2C2">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湖南省知识产权保护中心（以下简称中心）为湖南省市场监督管理局管理的公益一类事业单位，正处级，主要职责是：</w:t>
      </w:r>
    </w:p>
    <w:p w14:paraId="62C7A456">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eastAsia" w:ascii="Times New Roman" w:hAnsi="Times New Roman" w:eastAsia="仿宋_GB2312" w:cs="Times New Roman"/>
          <w:snapToGrid/>
          <w:kern w:val="2"/>
          <w:sz w:val="32"/>
          <w:szCs w:val="32"/>
          <w:lang w:eastAsia="zh-CN"/>
        </w:rPr>
      </w:pPr>
      <w:r>
        <w:rPr>
          <w:rFonts w:hint="eastAsia" w:ascii="Times New Roman" w:hAnsi="Times New Roman" w:eastAsia="仿宋_GB2312" w:cs="Times New Roman"/>
          <w:snapToGrid/>
          <w:kern w:val="2"/>
          <w:sz w:val="32"/>
          <w:szCs w:val="32"/>
          <w:lang w:val="en-US" w:eastAsia="zh-CN"/>
        </w:rPr>
        <w:t>1.</w:t>
      </w:r>
      <w:r>
        <w:rPr>
          <w:rFonts w:hint="eastAsia" w:ascii="Times New Roman" w:hAnsi="Times New Roman" w:eastAsia="仿宋_GB2312" w:cs="Times New Roman"/>
          <w:snapToGrid/>
          <w:kern w:val="2"/>
          <w:sz w:val="32"/>
          <w:szCs w:val="32"/>
        </w:rPr>
        <w:t>承担全省先进制造和新材料产业等技术领域专利申请快速审查、快速确权、快速维权工作</w:t>
      </w:r>
      <w:r>
        <w:rPr>
          <w:rFonts w:hint="eastAsia" w:ascii="Times New Roman" w:hAnsi="Times New Roman" w:eastAsia="仿宋_GB2312" w:cs="Times New Roman"/>
          <w:snapToGrid/>
          <w:kern w:val="2"/>
          <w:sz w:val="32"/>
          <w:szCs w:val="32"/>
          <w:lang w:eastAsia="zh-CN"/>
        </w:rPr>
        <w:t>。</w:t>
      </w:r>
    </w:p>
    <w:p w14:paraId="29BF7376">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eastAsia" w:ascii="Times New Roman" w:hAnsi="Times New Roman" w:eastAsia="仿宋_GB2312" w:cs="Times New Roman"/>
          <w:snapToGrid/>
          <w:kern w:val="2"/>
          <w:sz w:val="32"/>
          <w:szCs w:val="32"/>
          <w:lang w:eastAsia="zh-CN"/>
        </w:rPr>
      </w:pPr>
      <w:r>
        <w:rPr>
          <w:rFonts w:hint="eastAsia" w:ascii="Times New Roman" w:hAnsi="Times New Roman" w:eastAsia="仿宋_GB2312" w:cs="Times New Roman"/>
          <w:snapToGrid/>
          <w:kern w:val="2"/>
          <w:sz w:val="32"/>
          <w:szCs w:val="32"/>
          <w:lang w:val="en-US" w:eastAsia="zh-CN"/>
        </w:rPr>
        <w:t>2.</w:t>
      </w:r>
      <w:r>
        <w:rPr>
          <w:rFonts w:hint="eastAsia" w:ascii="Times New Roman" w:hAnsi="Times New Roman" w:eastAsia="仿宋_GB2312" w:cs="Times New Roman"/>
          <w:snapToGrid/>
          <w:kern w:val="2"/>
          <w:sz w:val="32"/>
          <w:szCs w:val="32"/>
        </w:rPr>
        <w:t>承担全省知识产权公共服务体系技术指导支持工作；提供知识产权快速协同保护技术支持；开展专利导航，知识产权转化运营、维权援助、鉴定评估等公益性工作。</w:t>
      </w:r>
    </w:p>
    <w:p w14:paraId="16EA25FB">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eastAsia" w:ascii="Times New Roman" w:hAnsi="Times New Roman" w:eastAsia="仿宋_GB2312" w:cs="Times New Roman"/>
          <w:snapToGrid/>
          <w:kern w:val="2"/>
          <w:sz w:val="32"/>
          <w:szCs w:val="32"/>
          <w:lang w:eastAsia="zh-CN"/>
        </w:rPr>
      </w:pPr>
      <w:r>
        <w:rPr>
          <w:rFonts w:hint="eastAsia" w:ascii="Times New Roman" w:hAnsi="Times New Roman" w:eastAsia="仿宋_GB2312" w:cs="Times New Roman"/>
          <w:snapToGrid/>
          <w:kern w:val="2"/>
          <w:sz w:val="32"/>
          <w:szCs w:val="32"/>
          <w:lang w:val="en-US" w:eastAsia="zh-CN"/>
        </w:rPr>
        <w:t>3.</w:t>
      </w:r>
      <w:r>
        <w:rPr>
          <w:rFonts w:hint="eastAsia" w:ascii="Times New Roman" w:hAnsi="Times New Roman" w:eastAsia="仿宋_GB2312" w:cs="Times New Roman"/>
          <w:snapToGrid/>
          <w:kern w:val="2"/>
          <w:sz w:val="32"/>
          <w:szCs w:val="32"/>
        </w:rPr>
        <w:t>协助省市场监督管理局开展知识产权保护、促进、运用工作，为相关工作提供技术支撑。</w:t>
      </w:r>
    </w:p>
    <w:p w14:paraId="3D9B2BE4">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eastAsia" w:ascii="Times New Roman" w:hAnsi="Times New Roman" w:eastAsia="仿宋_GB2312" w:cs="Times New Roman"/>
          <w:snapToGrid/>
          <w:kern w:val="2"/>
          <w:sz w:val="32"/>
          <w:szCs w:val="32"/>
          <w:lang w:eastAsia="zh-CN"/>
        </w:rPr>
      </w:pPr>
      <w:r>
        <w:rPr>
          <w:rFonts w:hint="eastAsia" w:ascii="Times New Roman" w:hAnsi="Times New Roman" w:eastAsia="仿宋_GB2312" w:cs="Times New Roman"/>
          <w:snapToGrid/>
          <w:kern w:val="2"/>
          <w:sz w:val="32"/>
          <w:szCs w:val="32"/>
          <w:lang w:val="en-US" w:eastAsia="zh-CN"/>
        </w:rPr>
        <w:t>4.</w:t>
      </w:r>
      <w:r>
        <w:rPr>
          <w:rFonts w:hint="eastAsia" w:ascii="Times New Roman" w:hAnsi="Times New Roman" w:eastAsia="仿宋_GB2312" w:cs="Times New Roman"/>
          <w:snapToGrid/>
          <w:kern w:val="2"/>
          <w:sz w:val="32"/>
          <w:szCs w:val="32"/>
        </w:rPr>
        <w:t>完成国家知识产权局和省市场监督管理局交办的其他任务。</w:t>
      </w:r>
    </w:p>
    <w:p w14:paraId="3702154D">
      <w:pPr>
        <w:keepNext w:val="0"/>
        <w:keepLines w:val="0"/>
        <w:pageBreakBefore w:val="0"/>
        <w:widowControl w:val="0"/>
        <w:numPr>
          <w:ilvl w:val="0"/>
          <w:numId w:val="5"/>
        </w:numPr>
        <w:kinsoku/>
        <w:wordWrap/>
        <w:overflowPunct/>
        <w:topLinePunct w:val="0"/>
        <w:autoSpaceDE/>
        <w:autoSpaceDN/>
        <w:bidi w:val="0"/>
        <w:adjustRightInd/>
        <w:snapToGrid w:val="0"/>
        <w:spacing w:line="560" w:lineRule="exact"/>
        <w:ind w:left="0" w:leftChars="0" w:firstLine="640" w:firstLineChars="200"/>
        <w:jc w:val="both"/>
        <w:textAlignment w:val="auto"/>
        <w:rPr>
          <w:rFonts w:hint="eastAsia" w:ascii="楷体" w:hAnsi="楷体" w:eastAsia="楷体" w:cs="楷体"/>
          <w:b/>
          <w:bCs/>
          <w:snapToGrid/>
          <w:kern w:val="2"/>
          <w:sz w:val="32"/>
          <w:szCs w:val="32"/>
          <w:lang w:val="en-US" w:eastAsia="zh-CN"/>
        </w:rPr>
      </w:pPr>
      <w:r>
        <w:rPr>
          <w:rFonts w:hint="eastAsia" w:ascii="楷体" w:hAnsi="楷体" w:eastAsia="楷体" w:cs="楷体"/>
          <w:b/>
          <w:bCs/>
          <w:snapToGrid/>
          <w:kern w:val="2"/>
          <w:sz w:val="32"/>
          <w:szCs w:val="32"/>
          <w:lang w:val="en-US" w:eastAsia="zh-CN"/>
        </w:rPr>
        <w:t>机构设置</w:t>
      </w:r>
    </w:p>
    <w:p w14:paraId="422230AD">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eastAsia" w:ascii="Times New Roman" w:hAnsi="Times New Roman" w:eastAsia="仿宋_GB2312" w:cs="Times New Roman"/>
          <w:snapToGrid/>
          <w:kern w:val="2"/>
          <w:sz w:val="32"/>
          <w:szCs w:val="32"/>
        </w:rPr>
      </w:pPr>
      <w:r>
        <w:rPr>
          <w:rFonts w:hint="eastAsia" w:ascii="Times New Roman" w:hAnsi="Times New Roman" w:eastAsia="仿宋_GB2312" w:cs="Times New Roman"/>
          <w:snapToGrid/>
          <w:kern w:val="2"/>
          <w:sz w:val="32"/>
          <w:szCs w:val="32"/>
          <w:lang w:val="en-US" w:eastAsia="zh-CN"/>
        </w:rPr>
        <w:t>中心内设机构6个，综合部、维权援助部、预警分析部、公共服务部、预审一部、预审二部</w:t>
      </w:r>
      <w:r>
        <w:rPr>
          <w:rFonts w:hint="eastAsia" w:ascii="Times New Roman" w:hAnsi="Times New Roman" w:eastAsia="仿宋_GB2312" w:cs="Times New Roman"/>
          <w:snapToGrid/>
          <w:kern w:val="2"/>
          <w:sz w:val="32"/>
          <w:szCs w:val="32"/>
        </w:rPr>
        <w:t>。</w:t>
      </w:r>
    </w:p>
    <w:p w14:paraId="76AFA779">
      <w:pPr>
        <w:keepNext w:val="0"/>
        <w:keepLines w:val="0"/>
        <w:pageBreakBefore w:val="0"/>
        <w:widowControl w:val="0"/>
        <w:numPr>
          <w:ilvl w:val="0"/>
          <w:numId w:val="5"/>
        </w:numPr>
        <w:kinsoku/>
        <w:wordWrap/>
        <w:overflowPunct/>
        <w:topLinePunct w:val="0"/>
        <w:autoSpaceDE/>
        <w:autoSpaceDN/>
        <w:bidi w:val="0"/>
        <w:adjustRightInd/>
        <w:snapToGrid w:val="0"/>
        <w:spacing w:line="560" w:lineRule="exact"/>
        <w:ind w:left="0" w:leftChars="0" w:firstLine="640" w:firstLineChars="200"/>
        <w:jc w:val="both"/>
        <w:textAlignment w:val="auto"/>
        <w:rPr>
          <w:rFonts w:hint="eastAsia" w:ascii="楷体" w:hAnsi="楷体" w:eastAsia="楷体" w:cs="楷体"/>
          <w:b/>
          <w:bCs/>
          <w:snapToGrid/>
          <w:kern w:val="2"/>
          <w:sz w:val="32"/>
          <w:szCs w:val="32"/>
          <w:lang w:val="en-US" w:eastAsia="zh-CN"/>
        </w:rPr>
      </w:pPr>
      <w:r>
        <w:rPr>
          <w:rFonts w:hint="eastAsia" w:ascii="楷体" w:hAnsi="楷体" w:eastAsia="楷体" w:cs="楷体"/>
          <w:b/>
          <w:bCs/>
          <w:snapToGrid/>
          <w:kern w:val="2"/>
          <w:sz w:val="32"/>
          <w:szCs w:val="32"/>
          <w:lang w:val="en-US" w:eastAsia="zh-CN"/>
        </w:rPr>
        <w:t>人员情况</w:t>
      </w:r>
    </w:p>
    <w:p w14:paraId="28435043">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default" w:ascii="Times New Roman" w:hAnsi="Times New Roman" w:eastAsia="仿宋_GB2312" w:cs="Times New Roman"/>
          <w:snapToGrid/>
          <w:kern w:val="2"/>
          <w:sz w:val="32"/>
          <w:szCs w:val="32"/>
          <w:lang w:val="en-US" w:eastAsia="zh-CN"/>
        </w:rPr>
      </w:pPr>
      <w:r>
        <w:rPr>
          <w:rFonts w:hint="eastAsia" w:ascii="Times New Roman" w:hAnsi="Times New Roman" w:eastAsia="仿宋_GB2312" w:cs="Times New Roman"/>
          <w:snapToGrid/>
          <w:kern w:val="2"/>
          <w:sz w:val="32"/>
          <w:szCs w:val="32"/>
          <w:lang w:val="en-US" w:eastAsia="zh-CN"/>
        </w:rPr>
        <w:t>中心核定编制60人，截至 2024 年末，实有在职人员 54人，退休人员 1人。</w:t>
      </w:r>
    </w:p>
    <w:p w14:paraId="4FBF1CFC">
      <w:pPr>
        <w:keepNext w:val="0"/>
        <w:keepLines w:val="0"/>
        <w:pageBreakBefore w:val="0"/>
        <w:widowControl w:val="0"/>
        <w:numPr>
          <w:ilvl w:val="0"/>
          <w:numId w:val="4"/>
        </w:numPr>
        <w:kinsoku/>
        <w:wordWrap/>
        <w:overflowPunct/>
        <w:topLinePunct w:val="0"/>
        <w:autoSpaceDE/>
        <w:autoSpaceDN/>
        <w:bidi w:val="0"/>
        <w:adjustRightInd/>
        <w:snapToGrid/>
        <w:spacing w:beforeAutospacing="0" w:afterAutospacing="0" w:line="600" w:lineRule="exact"/>
        <w:ind w:left="0" w:leftChars="0" w:firstLine="640" w:firstLineChars="200"/>
        <w:jc w:val="both"/>
        <w:textAlignment w:val="auto"/>
        <w:outlineLvl w:val="0"/>
        <w:rPr>
          <w:rFonts w:hint="eastAsia" w:ascii="Times New Roman" w:hAnsi="Times New Roman" w:eastAsia="黑体" w:cs="Times New Roman"/>
          <w:snapToGrid w:val="0"/>
          <w:color w:val="000000"/>
          <w:kern w:val="44"/>
          <w:sz w:val="32"/>
          <w:szCs w:val="21"/>
          <w:lang w:val="en-US" w:eastAsia="zh-CN" w:bidi="ar-SA"/>
        </w:rPr>
      </w:pPr>
      <w:r>
        <w:rPr>
          <w:rFonts w:hint="eastAsia" w:ascii="Times New Roman" w:hAnsi="Times New Roman" w:eastAsia="黑体" w:cs="Times New Roman"/>
          <w:snapToGrid w:val="0"/>
          <w:color w:val="000000"/>
          <w:kern w:val="44"/>
          <w:sz w:val="32"/>
          <w:szCs w:val="21"/>
          <w:lang w:val="en-US" w:eastAsia="zh-CN" w:bidi="ar-SA"/>
        </w:rPr>
        <w:t>一般公共预算支出情况</w:t>
      </w:r>
    </w:p>
    <w:p w14:paraId="34FF7C39">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600" w:lineRule="exact"/>
        <w:ind w:firstLine="640" w:firstLineChars="200"/>
        <w:jc w:val="both"/>
        <w:textAlignment w:val="auto"/>
        <w:outlineLvl w:val="1"/>
        <w:rPr>
          <w:rFonts w:hint="eastAsia" w:ascii="Times New Roman" w:hAnsi="Times New Roman" w:eastAsia="仿宋_GB2312" w:cs="Times New Roman"/>
          <w:b w:val="0"/>
          <w:snapToGrid/>
          <w:kern w:val="2"/>
          <w:sz w:val="32"/>
          <w:szCs w:val="32"/>
          <w:lang w:val="en-US" w:eastAsia="zh-CN" w:bidi="ar-SA"/>
        </w:rPr>
      </w:pPr>
      <w:r>
        <w:rPr>
          <w:rFonts w:hint="eastAsia" w:ascii="Times New Roman" w:hAnsi="Times New Roman" w:eastAsia="仿宋_GB2312" w:cs="Times New Roman"/>
          <w:b w:val="0"/>
          <w:snapToGrid/>
          <w:kern w:val="2"/>
          <w:sz w:val="32"/>
          <w:szCs w:val="32"/>
          <w:lang w:val="en-US" w:eastAsia="zh-CN" w:bidi="ar-SA"/>
        </w:rPr>
        <w:t>中心2024年一般公共预算财政拨款收入 1679.69 万元，其中基本支出 1175.23万元，项目支出504.46万元；一般公共预算财政拨款上年结转结余为718.47万元，其中基本支出0万元，项目支出718.47万元。2024年支出1985.25万元，其中基本支出1172.29万元，项目支出812.96万元。2024年年末结转结余资金412.91万元，其中基本支出结转结余2.94万元</w:t>
      </w:r>
      <w:r>
        <w:rPr>
          <w:rFonts w:hint="eastAsia" w:ascii="Times New Roman" w:hAnsi="Times New Roman" w:eastAsia="楷体" w:cs="Times New Roman"/>
          <w:b/>
          <w:kern w:val="2"/>
          <w:sz w:val="32"/>
          <w:szCs w:val="32"/>
          <w:lang w:val="en-US" w:eastAsia="zh-CN" w:bidi="ar-SA"/>
        </w:rPr>
        <w:t>，</w:t>
      </w:r>
      <w:r>
        <w:rPr>
          <w:rFonts w:hint="eastAsia" w:ascii="Times New Roman" w:hAnsi="Times New Roman" w:eastAsia="仿宋_GB2312" w:cs="Times New Roman"/>
          <w:b w:val="0"/>
          <w:snapToGrid/>
          <w:kern w:val="2"/>
          <w:sz w:val="32"/>
          <w:szCs w:val="32"/>
          <w:lang w:val="en-US" w:eastAsia="zh-CN" w:bidi="ar-SA"/>
        </w:rPr>
        <w:t>项目支出结转结余409.97万元。</w:t>
      </w:r>
    </w:p>
    <w:p w14:paraId="317191C4">
      <w:pPr>
        <w:keepNext w:val="0"/>
        <w:keepLines w:val="0"/>
        <w:pageBreakBefore w:val="0"/>
        <w:widowControl w:val="0"/>
        <w:numPr>
          <w:ilvl w:val="0"/>
          <w:numId w:val="6"/>
        </w:numPr>
        <w:kinsoku/>
        <w:wordWrap/>
        <w:overflowPunct/>
        <w:topLinePunct w:val="0"/>
        <w:autoSpaceDE/>
        <w:autoSpaceDN/>
        <w:bidi w:val="0"/>
        <w:adjustRightInd/>
        <w:snapToGrid/>
        <w:spacing w:beforeLines="0" w:beforeAutospacing="0" w:afterLines="0" w:afterAutospacing="0" w:line="600" w:lineRule="exact"/>
        <w:ind w:firstLine="640" w:firstLineChars="200"/>
        <w:jc w:val="both"/>
        <w:textAlignment w:val="auto"/>
        <w:outlineLvl w:val="1"/>
        <w:rPr>
          <w:rFonts w:hint="eastAsia" w:ascii="Times New Roman" w:hAnsi="Times New Roman" w:eastAsia="楷体" w:cs="Times New Roman"/>
          <w:b/>
          <w:kern w:val="2"/>
          <w:sz w:val="32"/>
          <w:szCs w:val="22"/>
          <w:lang w:val="en-US" w:eastAsia="zh-CN" w:bidi="ar-SA"/>
        </w:rPr>
      </w:pPr>
      <w:r>
        <w:rPr>
          <w:rFonts w:hint="eastAsia" w:ascii="Times New Roman" w:hAnsi="Times New Roman" w:eastAsia="楷体" w:cs="Times New Roman"/>
          <w:b/>
          <w:kern w:val="2"/>
          <w:sz w:val="32"/>
          <w:szCs w:val="22"/>
          <w:lang w:val="en-US" w:eastAsia="zh-CN" w:bidi="ar-SA"/>
        </w:rPr>
        <w:t>基本支出情况</w:t>
      </w:r>
    </w:p>
    <w:p w14:paraId="780E0CA1">
      <w:pPr>
        <w:keepNext w:val="0"/>
        <w:keepLines w:val="0"/>
        <w:pageBreakBefore w:val="0"/>
        <w:widowControl w:val="0"/>
        <w:kinsoku/>
        <w:wordWrap/>
        <w:overflowPunct/>
        <w:topLinePunct w:val="0"/>
        <w:autoSpaceDE/>
        <w:autoSpaceDN/>
        <w:bidi w:val="0"/>
        <w:adjustRightInd w:val="0"/>
        <w:snapToGrid w:val="0"/>
        <w:spacing w:after="0" w:line="600" w:lineRule="exact"/>
        <w:ind w:left="0" w:leftChars="0"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基本支出系保障中心正常运转、完成日常工作任务而发生的各项支出，包括在职人员基本工资、津贴补贴等人员经费以及办公费、印刷费、水电费、办公设备购置等日常公用经费。2024 年基本支出收入总额</w:t>
      </w:r>
      <w:r>
        <w:rPr>
          <w:rFonts w:hint="eastAsia" w:ascii="Times New Roman" w:hAnsi="Times New Roman" w:eastAsia="仿宋_GB2312" w:cs="Times New Roman"/>
          <w:b w:val="0"/>
          <w:snapToGrid/>
          <w:kern w:val="2"/>
          <w:sz w:val="32"/>
          <w:szCs w:val="32"/>
          <w:lang w:val="en-US" w:eastAsia="zh-CN" w:bidi="ar-SA"/>
        </w:rPr>
        <w:t>1175.23</w:t>
      </w:r>
      <w:r>
        <w:rPr>
          <w:rFonts w:hint="eastAsia" w:ascii="Times New Roman" w:hAnsi="Times New Roman" w:eastAsia="仿宋_GB2312" w:cs="Times New Roman"/>
          <w:kern w:val="2"/>
          <w:sz w:val="32"/>
          <w:szCs w:val="32"/>
          <w:lang w:val="en-US" w:eastAsia="zh-CN" w:bidi="ar-SA"/>
        </w:rPr>
        <w:t>万元，实际支出1172.29万元。其中：工资福利支出1022.04万元，占比87.19%；商品和服务支出147.64万元，占比12.59%；对个人和家庭的补助2.61万元，占比0.22%。</w:t>
      </w:r>
    </w:p>
    <w:p w14:paraId="178113DA">
      <w:pPr>
        <w:keepNext w:val="0"/>
        <w:keepLines w:val="0"/>
        <w:pageBreakBefore w:val="0"/>
        <w:widowControl w:val="0"/>
        <w:numPr>
          <w:ilvl w:val="0"/>
          <w:numId w:val="6"/>
        </w:numPr>
        <w:kinsoku/>
        <w:wordWrap/>
        <w:overflowPunct/>
        <w:topLinePunct w:val="0"/>
        <w:autoSpaceDE/>
        <w:autoSpaceDN/>
        <w:bidi w:val="0"/>
        <w:adjustRightInd/>
        <w:snapToGrid/>
        <w:spacing w:beforeLines="0" w:beforeAutospacing="0" w:afterLines="0" w:afterAutospacing="0" w:line="600" w:lineRule="exact"/>
        <w:ind w:left="0" w:leftChars="0" w:firstLine="640" w:firstLineChars="200"/>
        <w:jc w:val="both"/>
        <w:textAlignment w:val="auto"/>
        <w:outlineLvl w:val="1"/>
        <w:rPr>
          <w:rFonts w:hint="eastAsia" w:ascii="Times New Roman" w:hAnsi="Times New Roman" w:eastAsia="楷体" w:cs="Times New Roman"/>
          <w:b/>
          <w:kern w:val="2"/>
          <w:sz w:val="32"/>
          <w:szCs w:val="22"/>
          <w:lang w:val="en-US" w:eastAsia="zh-CN" w:bidi="ar-SA"/>
        </w:rPr>
      </w:pPr>
      <w:r>
        <w:rPr>
          <w:rFonts w:hint="eastAsia" w:ascii="Times New Roman" w:hAnsi="Times New Roman" w:eastAsia="楷体" w:cs="Times New Roman"/>
          <w:b/>
          <w:kern w:val="2"/>
          <w:sz w:val="32"/>
          <w:szCs w:val="22"/>
          <w:lang w:val="en-US" w:eastAsia="zh-CN" w:bidi="ar-SA"/>
        </w:rPr>
        <w:t>项目支出情况</w:t>
      </w:r>
    </w:p>
    <w:p w14:paraId="0C830265">
      <w:pPr>
        <w:keepNext w:val="0"/>
        <w:keepLines w:val="0"/>
        <w:pageBreakBefore w:val="0"/>
        <w:widowControl w:val="0"/>
        <w:kinsoku/>
        <w:wordWrap/>
        <w:overflowPunct/>
        <w:topLinePunct w:val="0"/>
        <w:autoSpaceDE/>
        <w:autoSpaceDN/>
        <w:bidi w:val="0"/>
        <w:adjustRightInd w:val="0"/>
        <w:snapToGrid w:val="0"/>
        <w:spacing w:after="0" w:line="600" w:lineRule="exact"/>
        <w:ind w:left="0" w:leftChars="0"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2024年项目收入1222.93万元（含上年结转结余），实际支出金额812.96万元。其中：商品和服务支683.24万元，占比84.04%；资本性支出129.72万元，占比 15.96%。</w:t>
      </w:r>
    </w:p>
    <w:p w14:paraId="6181F72A">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从项目支出类别来看，主要包括业务工作经费、省级专项资金、其他事业发展类资金。主要使用情况如下：</w:t>
      </w:r>
    </w:p>
    <w:p w14:paraId="473F5FF1">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2024年中心业务工作经费收入49.0万，支出33.3万元，系知识产权大院物业费和商业秘密保护示范创建项目经费。</w:t>
      </w:r>
    </w:p>
    <w:p w14:paraId="2F36B75E">
      <w:pPr>
        <w:keepNext w:val="0"/>
        <w:keepLines w:val="0"/>
        <w:pageBreakBefore w:val="0"/>
        <w:widowControl w:val="0"/>
        <w:kinsoku/>
        <w:wordWrap/>
        <w:overflowPunct/>
        <w:topLinePunct w:val="0"/>
        <w:autoSpaceDE/>
        <w:autoSpaceDN/>
        <w:bidi w:val="0"/>
        <w:adjustRightInd w:val="0"/>
        <w:snapToGrid w:val="0"/>
        <w:spacing w:after="0" w:line="600" w:lineRule="exact"/>
        <w:ind w:left="0" w:leftChars="0"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2024年中心省级专项资金收入总计687.85万元，本年收入163.0万元、上年结转结余资金524.85万元，其中：标准化项目3万元、知识产权战略推进项目160.0万元；国家级知识产权中心建设(2023结转)506.78、知识产权战略推进专项项目评审及验收(2023结转)11.92万元，商业秘密技术支撑项目(2023结转)6.15万元。全年省级专项资金支出350.53万元，主要支出方向为国家级知识产权中心建设、知识产权战略专项评审与验收工作、国家级中心提质增效、企业商业秘密保护管理规范等相关工作。</w:t>
      </w:r>
    </w:p>
    <w:p w14:paraId="65F68363">
      <w:pPr>
        <w:keepNext w:val="0"/>
        <w:keepLines w:val="0"/>
        <w:pageBreakBefore w:val="0"/>
        <w:widowControl w:val="0"/>
        <w:kinsoku/>
        <w:wordWrap/>
        <w:overflowPunct/>
        <w:topLinePunct w:val="0"/>
        <w:autoSpaceDE/>
        <w:autoSpaceDN/>
        <w:bidi w:val="0"/>
        <w:adjustRightInd w:val="0"/>
        <w:snapToGrid w:val="0"/>
        <w:spacing w:after="0" w:line="600" w:lineRule="exact"/>
        <w:ind w:left="0" w:leftChars="0"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2024年中心其他事业发展类资金收入总计486.08，本年收入292.46万元、上年结转结余资金193.62万元，其中：快速协同保护项目113.0万元、专利快速预审项目179.46万元；省知识产权中心工作经费(2023结转)44.12万元、专利转化服务平台支撑项目资金(2023结转)149.50万元。全年其他事业发展类资金支出429.13万元，主要支出方向为知识产权协同保护及快速预审、全省专利转化等工作。</w:t>
      </w:r>
    </w:p>
    <w:p w14:paraId="4222B746">
      <w:pPr>
        <w:keepNext w:val="0"/>
        <w:keepLines w:val="0"/>
        <w:pageBreakBefore w:val="0"/>
        <w:widowControl w:val="0"/>
        <w:numPr>
          <w:ilvl w:val="0"/>
          <w:numId w:val="4"/>
        </w:numPr>
        <w:kinsoku/>
        <w:wordWrap/>
        <w:overflowPunct/>
        <w:topLinePunct w:val="0"/>
        <w:autoSpaceDE/>
        <w:autoSpaceDN/>
        <w:bidi w:val="0"/>
        <w:adjustRightInd/>
        <w:snapToGrid/>
        <w:spacing w:beforeAutospacing="0" w:afterAutospacing="0" w:line="600" w:lineRule="exact"/>
        <w:ind w:left="0" w:leftChars="0" w:firstLine="640" w:firstLineChars="200"/>
        <w:jc w:val="both"/>
        <w:textAlignment w:val="auto"/>
        <w:outlineLvl w:val="0"/>
        <w:rPr>
          <w:rFonts w:hint="eastAsia" w:ascii="Times New Roman" w:hAnsi="Times New Roman" w:eastAsia="黑体" w:cs="Times New Roman"/>
          <w:snapToGrid w:val="0"/>
          <w:color w:val="000000"/>
          <w:kern w:val="44"/>
          <w:sz w:val="32"/>
          <w:szCs w:val="21"/>
          <w:lang w:val="en-US" w:eastAsia="zh-CN" w:bidi="ar-SA"/>
        </w:rPr>
      </w:pPr>
      <w:r>
        <w:rPr>
          <w:rFonts w:hint="eastAsia" w:ascii="Times New Roman" w:hAnsi="Times New Roman" w:eastAsia="黑体" w:cs="Times New Roman"/>
          <w:snapToGrid w:val="0"/>
          <w:color w:val="000000"/>
          <w:kern w:val="44"/>
          <w:sz w:val="32"/>
          <w:szCs w:val="21"/>
          <w:lang w:val="en-US" w:eastAsia="zh-CN" w:bidi="ar-SA"/>
        </w:rPr>
        <w:t>政府性基金预算支出情况</w:t>
      </w:r>
    </w:p>
    <w:p w14:paraId="591BE879">
      <w:pPr>
        <w:keepNext w:val="0"/>
        <w:keepLines w:val="0"/>
        <w:pageBreakBefore w:val="0"/>
        <w:widowControl w:val="0"/>
        <w:kinsoku/>
        <w:wordWrap/>
        <w:overflowPunct/>
        <w:topLinePunct w:val="0"/>
        <w:autoSpaceDE/>
        <w:autoSpaceDN/>
        <w:bidi w:val="0"/>
        <w:adjustRightInd w:val="0"/>
        <w:snapToGrid w:val="0"/>
        <w:spacing w:after="0" w:line="600" w:lineRule="exact"/>
        <w:ind w:left="0" w:leftChars="0" w:firstLine="640" w:firstLineChars="200"/>
        <w:jc w:val="left"/>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snapToGrid w:val="0"/>
          <w:color w:val="000000"/>
          <w:kern w:val="2"/>
          <w:sz w:val="32"/>
          <w:szCs w:val="32"/>
          <w:lang w:val="en-US" w:eastAsia="zh-CN" w:bidi="ar-SA"/>
        </w:rPr>
        <w:t>本单位无政府性基金预算支出情况。</w:t>
      </w:r>
    </w:p>
    <w:p w14:paraId="03344930">
      <w:pPr>
        <w:keepNext w:val="0"/>
        <w:keepLines w:val="0"/>
        <w:pageBreakBefore w:val="0"/>
        <w:widowControl w:val="0"/>
        <w:numPr>
          <w:ilvl w:val="0"/>
          <w:numId w:val="4"/>
        </w:numPr>
        <w:kinsoku/>
        <w:wordWrap/>
        <w:overflowPunct/>
        <w:topLinePunct w:val="0"/>
        <w:autoSpaceDE/>
        <w:autoSpaceDN/>
        <w:bidi w:val="0"/>
        <w:adjustRightInd/>
        <w:snapToGrid/>
        <w:spacing w:beforeAutospacing="0" w:afterAutospacing="0" w:line="600" w:lineRule="exact"/>
        <w:ind w:left="0" w:leftChars="0" w:firstLine="640" w:firstLineChars="200"/>
        <w:jc w:val="both"/>
        <w:textAlignment w:val="auto"/>
        <w:outlineLvl w:val="0"/>
        <w:rPr>
          <w:rFonts w:hint="eastAsia" w:ascii="Times New Roman" w:hAnsi="Times New Roman" w:eastAsia="黑体" w:cs="Times New Roman"/>
          <w:snapToGrid w:val="0"/>
          <w:color w:val="000000"/>
          <w:kern w:val="44"/>
          <w:sz w:val="32"/>
          <w:szCs w:val="21"/>
          <w:lang w:val="en-US" w:eastAsia="zh-CN" w:bidi="ar-SA"/>
        </w:rPr>
      </w:pPr>
      <w:r>
        <w:rPr>
          <w:rFonts w:hint="eastAsia" w:ascii="Times New Roman" w:hAnsi="Times New Roman" w:eastAsia="黑体" w:cs="Times New Roman"/>
          <w:snapToGrid w:val="0"/>
          <w:color w:val="000000"/>
          <w:kern w:val="44"/>
          <w:sz w:val="32"/>
          <w:szCs w:val="21"/>
          <w:lang w:val="en-US" w:eastAsia="zh-CN" w:bidi="ar-SA"/>
        </w:rPr>
        <w:t>国有资本经营预算支出情况</w:t>
      </w:r>
    </w:p>
    <w:p w14:paraId="248B4CB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Calibri" w:hAnsi="Calibri" w:eastAsia="仿宋_GB2312" w:cs="Times New Roman"/>
          <w:kern w:val="2"/>
          <w:sz w:val="32"/>
          <w:szCs w:val="22"/>
          <w:lang w:val="en-US" w:eastAsia="zh-CN" w:bidi="ar-SA"/>
        </w:rPr>
      </w:pPr>
      <w:r>
        <w:rPr>
          <w:rFonts w:hint="eastAsia" w:ascii="Times New Roman" w:hAnsi="Times New Roman" w:eastAsia="仿宋_GB2312" w:cs="Times New Roman"/>
          <w:snapToGrid w:val="0"/>
          <w:color w:val="000000"/>
          <w:kern w:val="2"/>
          <w:sz w:val="32"/>
          <w:szCs w:val="32"/>
          <w:lang w:val="en-US" w:eastAsia="zh-CN" w:bidi="ar-SA"/>
        </w:rPr>
        <w:t>本单位无国有资本经营预算支出情况。</w:t>
      </w:r>
    </w:p>
    <w:p w14:paraId="6940ECBC">
      <w:pPr>
        <w:keepNext w:val="0"/>
        <w:keepLines w:val="0"/>
        <w:pageBreakBefore w:val="0"/>
        <w:widowControl w:val="0"/>
        <w:numPr>
          <w:ilvl w:val="0"/>
          <w:numId w:val="4"/>
        </w:numPr>
        <w:kinsoku/>
        <w:wordWrap/>
        <w:overflowPunct/>
        <w:topLinePunct w:val="0"/>
        <w:autoSpaceDE/>
        <w:autoSpaceDN/>
        <w:bidi w:val="0"/>
        <w:adjustRightInd/>
        <w:snapToGrid/>
        <w:spacing w:beforeAutospacing="0" w:afterAutospacing="0" w:line="600" w:lineRule="exact"/>
        <w:ind w:left="0" w:leftChars="0" w:firstLine="640" w:firstLineChars="200"/>
        <w:jc w:val="both"/>
        <w:textAlignment w:val="auto"/>
        <w:outlineLvl w:val="0"/>
        <w:rPr>
          <w:rFonts w:hint="eastAsia" w:ascii="Times New Roman" w:hAnsi="Times New Roman" w:eastAsia="黑体" w:cs="Times New Roman"/>
          <w:snapToGrid w:val="0"/>
          <w:color w:val="000000"/>
          <w:kern w:val="44"/>
          <w:sz w:val="32"/>
          <w:szCs w:val="21"/>
          <w:lang w:val="en-US" w:eastAsia="zh-CN" w:bidi="ar-SA"/>
        </w:rPr>
      </w:pPr>
      <w:r>
        <w:rPr>
          <w:rFonts w:hint="eastAsia" w:ascii="Times New Roman" w:hAnsi="Times New Roman" w:eastAsia="黑体" w:cs="Times New Roman"/>
          <w:snapToGrid w:val="0"/>
          <w:color w:val="000000"/>
          <w:kern w:val="44"/>
          <w:sz w:val="32"/>
          <w:szCs w:val="21"/>
          <w:lang w:val="en-US" w:eastAsia="zh-CN" w:bidi="ar-SA"/>
        </w:rPr>
        <w:t>社会保险基金预算支出情况</w:t>
      </w:r>
    </w:p>
    <w:p w14:paraId="5B88A49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Calibri" w:hAnsi="Calibri" w:eastAsia="仿宋_GB2312" w:cs="Times New Roman"/>
          <w:kern w:val="2"/>
          <w:sz w:val="32"/>
          <w:szCs w:val="22"/>
          <w:lang w:val="en-US" w:eastAsia="zh-CN" w:bidi="ar-SA"/>
        </w:rPr>
      </w:pPr>
      <w:r>
        <w:rPr>
          <w:rFonts w:hint="eastAsia" w:ascii="Times New Roman" w:hAnsi="Times New Roman" w:eastAsia="仿宋_GB2312" w:cs="Times New Roman"/>
          <w:snapToGrid w:val="0"/>
          <w:color w:val="000000"/>
          <w:kern w:val="2"/>
          <w:sz w:val="32"/>
          <w:szCs w:val="32"/>
          <w:lang w:val="en-US" w:eastAsia="zh-CN" w:bidi="ar-SA"/>
        </w:rPr>
        <w:t>本单位无社会保险基金预算支出情况。</w:t>
      </w:r>
    </w:p>
    <w:p w14:paraId="7F4A078C">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outlineLvl w:val="0"/>
        <w:rPr>
          <w:rFonts w:hint="eastAsia" w:ascii="Times New Roman" w:hAnsi="Times New Roman" w:eastAsia="黑体" w:cs="Times New Roman"/>
          <w:snapToGrid w:val="0"/>
          <w:color w:val="000000"/>
          <w:kern w:val="44"/>
          <w:sz w:val="32"/>
          <w:szCs w:val="21"/>
          <w:lang w:val="en-US" w:eastAsia="zh-CN" w:bidi="ar-SA"/>
        </w:rPr>
      </w:pPr>
      <w:r>
        <w:rPr>
          <w:rFonts w:hint="eastAsia" w:ascii="Times New Roman" w:hAnsi="Times New Roman" w:eastAsia="黑体" w:cs="Times New Roman"/>
          <w:snapToGrid w:val="0"/>
          <w:color w:val="000000"/>
          <w:kern w:val="44"/>
          <w:sz w:val="32"/>
          <w:szCs w:val="21"/>
          <w:lang w:val="en-US" w:eastAsia="zh-CN" w:bidi="ar-SA"/>
        </w:rPr>
        <w:t>六、单位整体支出绩效情况</w:t>
      </w:r>
    </w:p>
    <w:p w14:paraId="6401D4D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零基预算”下</w:t>
      </w:r>
      <w:r>
        <w:rPr>
          <w:rFonts w:hint="eastAsia" w:ascii="楷体" w:hAnsi="楷体" w:eastAsia="楷体" w:cs="楷体"/>
          <w:b/>
          <w:bCs/>
          <w:sz w:val="32"/>
          <w:szCs w:val="32"/>
        </w:rPr>
        <w:t>绩效目标完成情况</w:t>
      </w:r>
      <w:r>
        <w:rPr>
          <w:rFonts w:hint="eastAsia" w:ascii="楷体" w:hAnsi="楷体" w:eastAsia="楷体" w:cs="楷体"/>
          <w:b/>
          <w:bCs/>
          <w:sz w:val="32"/>
          <w:szCs w:val="32"/>
          <w:lang w:eastAsia="zh-CN"/>
        </w:rPr>
        <w:t>、</w:t>
      </w:r>
      <w:r>
        <w:rPr>
          <w:rFonts w:hint="eastAsia" w:ascii="楷体" w:hAnsi="楷体" w:eastAsia="楷体" w:cs="楷体"/>
          <w:b/>
          <w:bCs/>
          <w:sz w:val="32"/>
          <w:szCs w:val="32"/>
        </w:rPr>
        <w:t>实现产出和取得效益的情况。</w:t>
      </w:r>
    </w:p>
    <w:p w14:paraId="44E6E13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根据零基预算的改革要求，中心打破现行预算编制“基数”观念和支出固化僵化格局，对所有预算项目重新进行全面、深度的分析，并结合单位实际和下年度重点工作，按照轻重缓急的原则，合理安排预算支出，以提高财政资源配置效率和资金使用效益。</w:t>
      </w:r>
    </w:p>
    <w:p w14:paraId="678B7C1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中心2024年预算支出绩效的主要目标是如下：为展会入驻、行政/司法保护、企业维权需求等，提供咨询服务和技术支撑服务10天；为行政/司法部门、电商平台、企业组织、社会公众等，组织提供知识产权侵权判定意见书、维权援助意见书、专家咨询意见书及各类知识产权分析报告等100份；面向重大项目、重点领域、重点创新主体、海外纠纷等，开展维权援助专项活动3个；对全省知识产权行政执法裁决人员、园区企业及社会公众等，开展公益培训3场；面向社会组织提供知识产权纠纷仲裁调解服务，仲裁调解知识产权纠纷案件54件；预审服务申请接收量≥2000件；赴企业开展现场服务活动人次≥20人次；预审员参加能力提升交流培训≥30人次；培训创新主体和代理机构人数≥200人。上述绩效目标全部完成，并取得良好效果。</w:t>
      </w:r>
    </w:p>
    <w:p w14:paraId="7194A60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（二）全链条资金体系下，中心业务开展情况。</w:t>
      </w:r>
    </w:p>
    <w:p w14:paraId="4A3C27B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中心2024年项目预算收入1222.93</w:t>
      </w:r>
      <w:r>
        <w:rPr>
          <w:rFonts w:hint="eastAsia"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含上年结转结余</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，实际支出</w:t>
      </w:r>
      <w:r>
        <w:rPr>
          <w:rFonts w:hint="eastAsia" w:ascii="Times New Roman" w:hAnsi="Times New Roman" w:eastAsia="仿宋_GB2312" w:cs="Times New Roman"/>
          <w:sz w:val="32"/>
          <w:szCs w:val="32"/>
          <w:lang w:val="en-US" w:eastAsia="zh-CN"/>
        </w:rPr>
        <w:t>812.96</w:t>
      </w:r>
      <w:r>
        <w:rPr>
          <w:rFonts w:hint="eastAsia"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项目经费支出旨在高质量开展专利快速预审服，一是积极推进快速预审、二是探索预审提质增效方法、三是提供精准指导服务。高效率推进知识产权协同保护，一是开展重点专项维权、二是完善协同保护机制、三是稳步推进知识产权海外维权。高水平开展知识产权公共服务，一是开展“百企优培”活动、二是积极推进公共服务体系建设、三是高效促进专利转化运用。高标准打造国家级省保护中心，一是坚持党建引领，筑牢战斗堡垒、二是狠抓意识形态，筑牢安全底线、三是完善人才保障，激发队伍活力。同时高价值推进专利导航预警分析和高质量推进知识产权专利转化等工作，并取得了良好效果。今后中心将立足“公益服务+技术支撑”职能职责，实现专利快速预审、维权、转化运用等知识产权公共服务不断向纵深推进。</w:t>
      </w:r>
    </w:p>
    <w:p w14:paraId="2BC285FA">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业财联动，初显成效。</w:t>
      </w:r>
    </w:p>
    <w:p w14:paraId="19FFA6A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中心2024年开展项目11个，其中：业务工作项目2个、省级专项5个、其他发展类项目4个。中心秉持新一年度的预算从零开始的新思路，整合项目、优化资源配置，反复商讨、测算，力争从点上开花走向面上成景。</w:t>
      </w:r>
    </w:p>
    <w:p w14:paraId="47E40C0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述项目聚焦中心履职效能，保障了各类业务高效有序的完成，同时也提高了单位的基础运行能力。此外，中心高度重视制度建设，对外印发《备案主体相关申请条件的通知》等制度，内部制定了《因私出国（境）规定》等管理制度，更新了《湖南省知识产权保护中心专家管理费用管理办法》（暂行）制度。</w:t>
      </w:r>
    </w:p>
    <w:p w14:paraId="676B2AD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各类项目的开展有利于帮助创新主体缩短专利申请审查周期、提高专利申请质量，形成并培育高价值专利，守好知识产权全链条保护“第一关”，实现对先进制造和新材料产业的协调联动保护，推动知识产权与我省优势产业结合，助力产业发展。有利于提升创新主体的专利快速预审服务的知晓度，浓厚尊重知识、崇尚创新、诚信守法、公平竞争的知识产权文化理念。有利于提高权利人自主创新能力和知识产权创造、保护、运用水平。</w:t>
      </w:r>
    </w:p>
    <w:p w14:paraId="3AE46582">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资金效能点面开花，推动知识产权高质量发展。</w:t>
      </w:r>
    </w:p>
    <w:p w14:paraId="4E65FB79">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高质量开展专利快速预审服务。截至12月底，共完成14批1777家企事业单位、465家代理机构备案，受理预审案件2912件，合格2411件，授权1359件。预审合格案件中最快获得授权的发明专利时间审查周期为23个工作日，实用新型7个工作日，外观设计4个工作日。二是探索预审提质增效方法。对外印发《备案主体相关申请条件的通知》等制度，内部形成“互检+质检”等制度，赴国知局、审协湖北中心、其他省市保护中心汇报交流，平均审查速度由1周1件提升至1天1件。领导班子成员分别带队前往岳阳等10余个市州企业及国防科大等7个高校走访调研，在株洲等10地召开预审座谈会。举办了2次专利预审业务研修班，2次代理机构座谈会，6期知识产权技术交流会，21次知识产权课堂等活动，进一步推动快速预审服务落地见效。三是提供精准指导服务。在省局保护处的带领下，联合代办中心走访长沙理工大学、中南林业科技大学等高校、科研院所及其院士团队，并根据走访调研需求提供针对性服务。为铁建重工16件案件开展前置批量审查，针对中车时代新材、株洲硬质合金专利申请难点问题提供点对点服务，助力清源华建4件核心技术产品快速授权，提前实现投产且预计年产值可达1000万元。</w:t>
      </w:r>
    </w:p>
    <w:p w14:paraId="5B52E28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高效率推进知识产权协同保护。一是开展重点专项维权。协同湘西州局、泸溪县委县政府，精准支撑湖南众鑫新材料科技股份有限公司应对攀钢集团提起的氮化钒生产方式侵权诉讼，中心出具专利侵权判定意见书，多次给予抗辩支持，2024年3月，最高法裁定撤销成都中院认定侵权的一审判决，裁定众鑫公司生产工艺不构成侵权，为众鑫公司挽回直接经济损失560余万元，关联挽损止损超亿元。积极推动《深入“专精特新”企业开展维权帮扶专项行动》，为中小企业健康发展保驾护航，已为60余家企业提供咨询指导服务。二是完善协同保护机制。与开福区、岳麓区法院，省公安厅，省知识产权协会等单位建立合作机制，办理案件67件。为中南大学、地市州局等单位出具知识产权侵权判定意见书、维权援助意见书、专家咨询意见书及各类知识产权分析报告份数118份。为第25届长沙智能制造装备博览会等提供展会维权服务6次。为淘宝等电商平台出具侵权判定咨询意见书603份。与长株潭三市律师协会签订知识产权保护合作协议，协同推进知识产权保护维权社会共治机制创新。协助省人社厅专家服务中心为省高层次人才创新创业大赛项目开展知识产权评审，出具51份意见书，帮助提升大赛评审质量，有效规避知识产权纠纷风险。三是稳步推进知识产权海外维权。6月24日，获批设立海外知识产权纠纷应对指导中心地方分中心。成功举办1期海外知识产权保护应对培训班。累计为湖南中烟、三一重工、山河智能等省内企业出具13份知识产权海外风险告知函，为“茶颜悦色”“芙蓉王”“和成天下”等省内著名商标海外疑似被抢注发布风险预警。面向全省征集海外商标监测预警需求，目前已经为60件商标开展定期监测。开展衡阳市“一县一企”海外知识产权保护维权专项行动，已为南岳电控等9家企业提供上门服务，出具海外知识产权体检报告6份。与省局保护处建立协助海外维权机制，为肆玖科技应对美国337调查提供技术支撑。推进开展海外专家库建设、海外知识产权纠纷典型案例库及非洲海外知识产权保护指南编制工作。</w:t>
      </w:r>
    </w:p>
    <w:p w14:paraId="5550F96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高水平开展知识产权公共服务。一是开展“百企优培”活动。根据《关于开展2024年湖南省“一起益企”中小微企业服务行动的通知》等文件精神，中心集中优势资源，面向有创新能力、实际需求强烈的“专精特新”企业优先提供4个方面15项服务，助推市场主体高质量发展。共收到124家企业的服务申请，经调研后确定45家企业入选第一批服务名单，开展“一对一”服务。为初源新材料等企业提供专利微导航、维权援助等服务，助力专利布局，应对涉案侵权风险，为企业挽损止损数千万元；根据大举科技等企业需求推送专利信息近10万条，帮助企业提高研发效率，降低研发成本。二是积极推进公共服务体系建设。举办知识产权综合服务能力提升培训班，知识产权“大篷车”望城站等3场活动，中心全年累计培训2000余人次，进一步提升了公共服务人员能力水平。畅通综合服务分中心信息沟通渠道，发布综合服务体系简报10份，完成省、市州、园区统计报表126份。根据省局、市州及省科技厅等单位来函需求，出具统计报表185份。为有需求的市州保护中心、公共服务分中心提供技术支持，与邵阳、株洲保护中心建立业务指导关系。完成国知局对地方公共服务工作站、公共服务平台、专题数据库、信息利用成果等信息的摸底调查。补充征集30名知识产权保护专家，举办专家培训及座谈会。协助省局完成战略专项项目评审、知识产权课程进党校等工作。三是高效促进专利转化运用。对全省重点专项、重要团队专利产出情况与中心预审分类号匹配情况进行摸底调查，出具《关于省内重大科技专项、十大技术攻坚项目以及省内院士及院士团队等重点创新主体专利统计分析》。根据湖南工学院、郴州职业技术学院、湘西州局和常德经开区的申请，完成专利转化分析报告4份。开展专利转化运用“市州行”湘西、衡阳专场，与20家单位签订专利转化运用协议，质押融资项目签约金额达9000万元。协助省局开展高校和科研机构存量专利盘活工作，完成6494条对高校专利的星级评估。</w:t>
      </w:r>
    </w:p>
    <w:p w14:paraId="2B87495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仿宋_GB2312" w:hAnsi="仿宋_GB2312" w:eastAsia="仿宋_GB2312" w:cs="仿宋_GB2312"/>
          <w:sz w:val="32"/>
          <w:szCs w:val="32"/>
          <w:lang w:val="en-US" w:eastAsia="zh-CN"/>
        </w:rPr>
        <w:t>4.高价值推进专利导航预警分析。针对邵虹和怀化兴怀相继被跨国竞争对手信访投诉涉嫌知识产权侵权，开展国内玻璃溢流下拉法领域专利预警分析，报告作为省商务厅邵虹玻璃知识产权情况专报附件提交省政府，相关建议被省政府报告采纳分别呈送沈晓明书记和毛伟明省长，并获得省委书记、省长批示。协助省委组织部完成2024年湖南省芙蓉计划高层次人才引进专利审核，对105名申报团队或个人的251件专利进行审核。开展3场专利导航指南国家标准推广培训，出版发行湖南轨道交通装备产业和硬质合金产业专利导航报告，助推知识产权信息传播利用。完成三一专汽冷藏车、唐智科技轴承轴故障诊断导航分析，联合株洲市场监管局、608所、中南大学知识产权中心和华夏泰和知识产权公司开展中小航空发动机专利导航，助力“专精特新”中小企业发展。</w:t>
      </w:r>
    </w:p>
    <w:p w14:paraId="7230E861">
      <w:pPr>
        <w:keepNext w:val="0"/>
        <w:keepLines w:val="0"/>
        <w:pageBreakBefore w:val="0"/>
        <w:widowControl w:val="0"/>
        <w:tabs>
          <w:tab w:val="left" w:pos="5338"/>
        </w:tabs>
        <w:kinsoku/>
        <w:wordWrap/>
        <w:overflowPunct/>
        <w:topLinePunct w:val="0"/>
        <w:autoSpaceDE/>
        <w:autoSpaceDN/>
        <w:bidi w:val="0"/>
        <w:adjustRightInd/>
        <w:snapToGrid/>
        <w:spacing w:beforeAutospacing="0" w:afterAutospacing="0" w:line="600" w:lineRule="exact"/>
        <w:ind w:firstLine="640" w:firstLineChars="200"/>
        <w:jc w:val="both"/>
        <w:textAlignment w:val="auto"/>
        <w:outlineLvl w:val="0"/>
        <w:rPr>
          <w:rFonts w:hint="eastAsia" w:ascii="Times New Roman" w:hAnsi="Times New Roman" w:eastAsia="黑体" w:cs="Times New Roman"/>
          <w:snapToGrid w:val="0"/>
          <w:color w:val="000000"/>
          <w:kern w:val="44"/>
          <w:sz w:val="32"/>
          <w:szCs w:val="21"/>
          <w:highlight w:val="none"/>
          <w:lang w:val="en-US" w:eastAsia="zh-CN" w:bidi="ar-SA"/>
        </w:rPr>
      </w:pPr>
      <w:r>
        <w:rPr>
          <w:rFonts w:hint="eastAsia" w:ascii="Times New Roman" w:hAnsi="Times New Roman" w:eastAsia="黑体" w:cs="Times New Roman"/>
          <w:snapToGrid w:val="0"/>
          <w:color w:val="000000"/>
          <w:kern w:val="44"/>
          <w:sz w:val="32"/>
          <w:szCs w:val="21"/>
          <w:highlight w:val="none"/>
          <w:lang w:val="en-US" w:eastAsia="zh-CN" w:bidi="ar-SA"/>
        </w:rPr>
        <w:t>七、存在的问题及原因分析</w:t>
      </w:r>
      <w:r>
        <w:rPr>
          <w:rFonts w:hint="eastAsia" w:ascii="Times New Roman" w:hAnsi="Times New Roman" w:eastAsia="黑体" w:cs="Times New Roman"/>
          <w:snapToGrid w:val="0"/>
          <w:color w:val="000000"/>
          <w:kern w:val="44"/>
          <w:sz w:val="32"/>
          <w:szCs w:val="21"/>
          <w:highlight w:val="none"/>
          <w:lang w:val="en-US" w:eastAsia="zh-CN" w:bidi="ar-SA"/>
        </w:rPr>
        <w:tab/>
      </w:r>
    </w:p>
    <w:p w14:paraId="5F588C4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通过本次绩效自评，</w:t>
      </w:r>
      <w:r>
        <w:rPr>
          <w:rFonts w:hint="eastAsia" w:ascii="Times New Roman" w:hAnsi="Times New Roman" w:eastAsia="仿宋_GB2312" w:cs="Times New Roman"/>
          <w:sz w:val="32"/>
          <w:szCs w:val="32"/>
          <w:lang w:val="en-US" w:eastAsia="zh-CN"/>
        </w:rPr>
        <w:t>我中心</w:t>
      </w:r>
      <w:r>
        <w:rPr>
          <w:rFonts w:hint="eastAsia" w:ascii="Times New Roman" w:hAnsi="Times New Roman" w:eastAsia="仿宋_GB2312" w:cs="Times New Roman"/>
          <w:sz w:val="32"/>
          <w:szCs w:val="32"/>
        </w:rPr>
        <w:t xml:space="preserve">从预算和预算绩效管理，部门履职效能，资金分配、使用和管理，资产和财务管理，政府采购等方面发现还存在以下几方面不足： </w:t>
      </w:r>
    </w:p>
    <w:p w14:paraId="577790C9">
      <w:pPr>
        <w:keepNext w:val="0"/>
        <w:keepLines w:val="0"/>
        <w:pageBreakBefore w:val="0"/>
        <w:widowControl w:val="0"/>
        <w:numPr>
          <w:ilvl w:val="0"/>
          <w:numId w:val="7"/>
        </w:numPr>
        <w:kinsoku/>
        <w:wordWrap/>
        <w:overflowPunct/>
        <w:topLinePunct w:val="0"/>
        <w:autoSpaceDE/>
        <w:autoSpaceDN/>
        <w:bidi w:val="0"/>
        <w:spacing w:line="600" w:lineRule="exact"/>
        <w:ind w:firstLine="640"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预算和预算绩效管理</w:t>
      </w:r>
    </w:p>
    <w:p w14:paraId="734DDDA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存在的主要问题。</w:t>
      </w:r>
      <w:r>
        <w:rPr>
          <w:rFonts w:hint="eastAsia" w:ascii="仿宋_GB2312" w:hAnsi="仿宋_GB2312" w:eastAsia="仿宋_GB2312" w:cs="仿宋_GB2312"/>
          <w:sz w:val="32"/>
          <w:szCs w:val="32"/>
        </w:rPr>
        <w:t>一是业务部门和财务部门配合度</w:t>
      </w:r>
      <w:r>
        <w:rPr>
          <w:rFonts w:hint="eastAsia" w:ascii="仿宋_GB2312" w:hAnsi="仿宋_GB2312" w:eastAsia="仿宋_GB2312" w:cs="仿宋_GB2312"/>
          <w:sz w:val="32"/>
          <w:szCs w:val="32"/>
          <w:lang w:eastAsia="zh-CN"/>
        </w:rPr>
        <w:t>不够，</w:t>
      </w:r>
      <w:r>
        <w:rPr>
          <w:rFonts w:hint="eastAsia" w:ascii="仿宋_GB2312" w:hAnsi="仿宋_GB2312" w:eastAsia="仿宋_GB2312" w:cs="仿宋_GB2312"/>
          <w:sz w:val="32"/>
          <w:szCs w:val="32"/>
        </w:rPr>
        <w:t>绩效管理意识</w:t>
      </w:r>
      <w:r>
        <w:rPr>
          <w:rFonts w:hint="eastAsia" w:ascii="仿宋_GB2312" w:hAnsi="仿宋_GB2312" w:eastAsia="仿宋_GB2312" w:cs="仿宋_GB2312"/>
          <w:sz w:val="32"/>
          <w:szCs w:val="32"/>
          <w:lang w:val="en-US" w:eastAsia="zh-CN"/>
        </w:rPr>
        <w:t>稍显</w:t>
      </w:r>
      <w:r>
        <w:rPr>
          <w:rFonts w:hint="eastAsia" w:ascii="仿宋_GB2312" w:hAnsi="仿宋_GB2312" w:eastAsia="仿宋_GB2312" w:cs="仿宋_GB2312"/>
          <w:sz w:val="32"/>
          <w:szCs w:val="32"/>
        </w:rPr>
        <w:t>薄弱</w:t>
      </w:r>
      <w:r>
        <w:rPr>
          <w:rFonts w:hint="eastAsia" w:ascii="仿宋_GB2312" w:hAnsi="仿宋_GB2312" w:eastAsia="仿宋_GB2312" w:cs="仿宋_GB2312"/>
          <w:sz w:val="32"/>
          <w:szCs w:val="32"/>
          <w:lang w:eastAsia="zh-CN"/>
        </w:rPr>
        <w:t>。二是</w:t>
      </w:r>
      <w:r>
        <w:rPr>
          <w:rFonts w:hint="eastAsia" w:ascii="仿宋_GB2312" w:hAnsi="仿宋_GB2312" w:eastAsia="仿宋_GB2312" w:cs="仿宋_GB2312"/>
          <w:sz w:val="32"/>
          <w:szCs w:val="32"/>
        </w:rPr>
        <w:t>绩效指标设置欠合理，年末绩效完成情况与年初申报绩效目标</w:t>
      </w:r>
      <w:r>
        <w:rPr>
          <w:rFonts w:hint="eastAsia" w:ascii="仿宋_GB2312" w:hAnsi="仿宋_GB2312" w:eastAsia="仿宋_GB2312" w:cs="仿宋_GB2312"/>
          <w:sz w:val="32"/>
          <w:szCs w:val="32"/>
          <w:lang w:val="en-US" w:eastAsia="zh-CN"/>
        </w:rPr>
        <w:t>有一定的偏差。</w:t>
      </w:r>
      <w:r>
        <w:rPr>
          <w:rFonts w:hint="eastAsia" w:ascii="仿宋_GB2312" w:hAnsi="仿宋_GB2312" w:eastAsia="仿宋_GB2312" w:cs="仿宋_GB2312"/>
          <w:sz w:val="32"/>
          <w:szCs w:val="32"/>
        </w:rPr>
        <w:t>三是个别项目指标未能如期完成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如信息化采购项目未完成立项等相关工作</w:t>
      </w:r>
      <w:r>
        <w:rPr>
          <w:rFonts w:hint="eastAsia" w:ascii="仿宋_GB2312" w:hAnsi="仿宋_GB2312" w:eastAsia="仿宋_GB2312" w:cs="仿宋_GB2312"/>
          <w:sz w:val="32"/>
          <w:szCs w:val="32"/>
        </w:rPr>
        <w:t>。</w:t>
      </w:r>
    </w:p>
    <w:p w14:paraId="3256CDC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主要原因，一是实际工作中</w:t>
      </w:r>
      <w:r>
        <w:rPr>
          <w:rFonts w:hint="eastAsia" w:ascii="仿宋_GB2312" w:hAnsi="仿宋_GB2312" w:eastAsia="仿宋_GB2312" w:cs="仿宋_GB2312"/>
          <w:sz w:val="32"/>
          <w:szCs w:val="32"/>
        </w:rPr>
        <w:t>项目实施部门与财务部门</w:t>
      </w:r>
      <w:r>
        <w:rPr>
          <w:rFonts w:hint="eastAsia" w:ascii="仿宋_GB2312" w:hAnsi="仿宋_GB2312" w:eastAsia="仿宋_GB2312" w:cs="仿宋_GB2312"/>
          <w:sz w:val="32"/>
          <w:szCs w:val="32"/>
          <w:lang w:eastAsia="zh-CN"/>
        </w:rPr>
        <w:t>缺乏紧密的沟通，</w:t>
      </w:r>
      <w:r>
        <w:rPr>
          <w:rFonts w:hint="eastAsia" w:ascii="仿宋_GB2312" w:hAnsi="仿宋_GB2312" w:eastAsia="仿宋_GB2312" w:cs="仿宋_GB2312"/>
          <w:sz w:val="32"/>
          <w:szCs w:val="32"/>
        </w:rPr>
        <w:t>项目实施部门绩效管理意识有待加强</w:t>
      </w:r>
      <w:r>
        <w:rPr>
          <w:rFonts w:hint="eastAsia" w:ascii="仿宋_GB2312" w:hAnsi="仿宋_GB2312" w:eastAsia="仿宋_GB2312" w:cs="仿宋_GB2312"/>
          <w:sz w:val="32"/>
          <w:szCs w:val="32"/>
          <w:lang w:eastAsia="zh-CN"/>
        </w:rPr>
        <w:t>。二是</w:t>
      </w:r>
      <w:r>
        <w:rPr>
          <w:rFonts w:hint="eastAsia" w:ascii="仿宋_GB2312" w:hAnsi="仿宋_GB2312" w:eastAsia="仿宋_GB2312" w:cs="仿宋_GB2312"/>
          <w:sz w:val="32"/>
          <w:szCs w:val="32"/>
        </w:rPr>
        <w:t>对绩效目标的理解有偏差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未能</w:t>
      </w:r>
      <w:r>
        <w:rPr>
          <w:rFonts w:hint="eastAsia" w:ascii="仿宋_GB2312" w:hAnsi="仿宋_GB2312" w:eastAsia="仿宋_GB2312" w:cs="仿宋_GB2312"/>
          <w:sz w:val="32"/>
          <w:szCs w:val="32"/>
          <w:lang w:eastAsia="zh-CN"/>
        </w:rPr>
        <w:t>完全</w:t>
      </w:r>
      <w:r>
        <w:rPr>
          <w:rFonts w:hint="eastAsia" w:ascii="仿宋_GB2312" w:hAnsi="仿宋_GB2312" w:eastAsia="仿宋_GB2312" w:cs="仿宋_GB2312"/>
          <w:sz w:val="32"/>
          <w:szCs w:val="32"/>
        </w:rPr>
        <w:t>结合职能</w:t>
      </w:r>
      <w:r>
        <w:rPr>
          <w:rFonts w:hint="eastAsia" w:ascii="仿宋_GB2312" w:hAnsi="仿宋_GB2312" w:eastAsia="仿宋_GB2312" w:cs="仿宋_GB2312"/>
          <w:sz w:val="32"/>
          <w:szCs w:val="32"/>
          <w:lang w:eastAsia="zh-CN"/>
        </w:rPr>
        <w:t>职责</w:t>
      </w:r>
      <w:r>
        <w:rPr>
          <w:rFonts w:hint="eastAsia" w:ascii="仿宋_GB2312" w:hAnsi="仿宋_GB2312" w:eastAsia="仿宋_GB2312" w:cs="仿宋_GB2312"/>
          <w:sz w:val="32"/>
          <w:szCs w:val="32"/>
        </w:rPr>
        <w:t>和工作性质设置切实可行的绩效目标。</w:t>
      </w:r>
      <w:r>
        <w:rPr>
          <w:rFonts w:hint="eastAsia" w:ascii="仿宋_GB2312" w:hAnsi="仿宋_GB2312" w:eastAsia="仿宋_GB2312" w:cs="仿宋_GB2312"/>
          <w:sz w:val="32"/>
          <w:szCs w:val="32"/>
          <w:lang w:eastAsia="zh-CN"/>
        </w:rPr>
        <w:t>三是因为客观原因导致个别绩效目标未完成，如国家级知识产权保护中心建设专项中的信息化采购由省局统一采购，但截止到</w:t>
      </w:r>
      <w:r>
        <w:rPr>
          <w:rFonts w:hint="eastAsia" w:ascii="仿宋_GB2312" w:hAnsi="仿宋_GB2312" w:eastAsia="仿宋_GB2312" w:cs="仿宋_GB2312"/>
          <w:sz w:val="32"/>
          <w:szCs w:val="32"/>
          <w:lang w:val="en-US" w:eastAsia="zh-CN"/>
        </w:rPr>
        <w:t>2024年年底未完成项目立项工作。</w:t>
      </w:r>
    </w:p>
    <w:p w14:paraId="75CCA57C">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40"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 xml:space="preserve">履职效能方面 </w:t>
      </w:r>
    </w:p>
    <w:p w14:paraId="15D10B1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Times New Roman"/>
          <w:sz w:val="32"/>
          <w:szCs w:val="32"/>
          <w:lang w:val="en-US" w:eastAsia="zh-CN"/>
        </w:rPr>
        <w:t>一是知识产权领域涉及</w:t>
      </w:r>
      <w:r>
        <w:rPr>
          <w:rFonts w:hint="eastAsia" w:ascii="Times New Roman" w:hAnsi="Times New Roman" w:eastAsia="仿宋_GB2312" w:cs="Times New Roman"/>
          <w:sz w:val="32"/>
          <w:szCs w:val="32"/>
        </w:rPr>
        <w:t>面广，</w:t>
      </w:r>
      <w:r>
        <w:rPr>
          <w:rFonts w:hint="eastAsia" w:ascii="Times New Roman" w:hAnsi="Times New Roman" w:eastAsia="仿宋_GB2312" w:cs="Times New Roman"/>
          <w:sz w:val="32"/>
          <w:szCs w:val="32"/>
          <w:lang w:val="en-US" w:eastAsia="zh-CN"/>
        </w:rPr>
        <w:t>专业要求高</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中心新进人员较多，所以导致相关专业知识、技能及处理</w:t>
      </w:r>
      <w:r>
        <w:rPr>
          <w:rFonts w:hint="eastAsia" w:ascii="Times New Roman" w:hAnsi="Times New Roman" w:eastAsia="仿宋_GB2312" w:cs="Times New Roman"/>
          <w:sz w:val="32"/>
          <w:szCs w:val="32"/>
        </w:rPr>
        <w:t>突发情况</w:t>
      </w:r>
      <w:r>
        <w:rPr>
          <w:rFonts w:hint="eastAsia" w:ascii="Times New Roman" w:hAnsi="Times New Roman" w:eastAsia="仿宋_GB2312" w:cs="Times New Roman"/>
          <w:sz w:val="32"/>
          <w:szCs w:val="32"/>
          <w:lang w:val="en-US" w:eastAsia="zh-CN"/>
        </w:rPr>
        <w:t>的</w:t>
      </w:r>
      <w:r>
        <w:rPr>
          <w:rFonts w:hint="eastAsia" w:ascii="Times New Roman" w:hAnsi="Times New Roman" w:eastAsia="仿宋_GB2312" w:cs="Times New Roman"/>
          <w:sz w:val="32"/>
          <w:szCs w:val="32"/>
        </w:rPr>
        <w:t>能力</w:t>
      </w:r>
      <w:r>
        <w:rPr>
          <w:rFonts w:hint="eastAsia" w:ascii="Times New Roman" w:hAnsi="Times New Roman" w:eastAsia="仿宋_GB2312" w:cs="Times New Roman"/>
          <w:sz w:val="32"/>
          <w:szCs w:val="32"/>
          <w:lang w:val="en-US" w:eastAsia="zh-CN"/>
        </w:rPr>
        <w:t>有待加强。二是在国家局的整体考核中靠后，主要是国家级湖南省保护中心初步运行，各项工作处于起步阶段，导致上半年的业务量不足，影响全年的考核。</w:t>
      </w:r>
    </w:p>
    <w:p w14:paraId="54754818">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40"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 xml:space="preserve">资金分配方面 </w:t>
      </w:r>
    </w:p>
    <w:p w14:paraId="009203E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rPr>
        <w:t>一是年初</w:t>
      </w:r>
      <w:r>
        <w:rPr>
          <w:rFonts w:hint="eastAsia" w:ascii="Times New Roman" w:hAnsi="Times New Roman" w:eastAsia="仿宋_GB2312" w:cs="Times New Roman"/>
          <w:sz w:val="32"/>
          <w:szCs w:val="32"/>
          <w:lang w:val="en-US" w:eastAsia="zh-CN"/>
        </w:rPr>
        <w:t>编制时相关工作处于计划阶段，加之国家级保护中心初步运行，相关业务工作无法精确预计和实施，故年初</w:t>
      </w:r>
      <w:r>
        <w:rPr>
          <w:rFonts w:hint="eastAsia" w:ascii="Times New Roman" w:hAnsi="Times New Roman" w:eastAsia="仿宋_GB2312" w:cs="Times New Roman"/>
          <w:sz w:val="32"/>
          <w:szCs w:val="32"/>
        </w:rPr>
        <w:t>预算资金安排</w:t>
      </w:r>
      <w:r>
        <w:rPr>
          <w:rFonts w:hint="eastAsia" w:ascii="Times New Roman" w:hAnsi="Times New Roman" w:eastAsia="仿宋_GB2312" w:cs="Times New Roman"/>
          <w:sz w:val="32"/>
          <w:szCs w:val="32"/>
          <w:lang w:val="en-US" w:eastAsia="zh-CN"/>
        </w:rPr>
        <w:t>时</w:t>
      </w:r>
      <w:r>
        <w:rPr>
          <w:rFonts w:hint="eastAsia" w:ascii="Times New Roman" w:hAnsi="Times New Roman" w:eastAsia="仿宋_GB2312" w:cs="Times New Roman"/>
          <w:sz w:val="32"/>
          <w:szCs w:val="32"/>
        </w:rPr>
        <w:t>不</w:t>
      </w:r>
      <w:r>
        <w:rPr>
          <w:rFonts w:hint="eastAsia" w:ascii="Times New Roman" w:hAnsi="Times New Roman" w:eastAsia="仿宋_GB2312" w:cs="Times New Roman"/>
          <w:sz w:val="32"/>
          <w:szCs w:val="32"/>
          <w:lang w:val="en-US" w:eastAsia="zh-CN"/>
        </w:rPr>
        <w:t>够</w:t>
      </w:r>
      <w:r>
        <w:rPr>
          <w:rFonts w:hint="eastAsia" w:ascii="Times New Roman" w:hAnsi="Times New Roman" w:eastAsia="仿宋_GB2312" w:cs="Times New Roman"/>
          <w:sz w:val="32"/>
          <w:szCs w:val="32"/>
        </w:rPr>
        <w:t>准确</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二是</w:t>
      </w:r>
      <w:r>
        <w:rPr>
          <w:rFonts w:hint="eastAsia" w:ascii="Times New Roman" w:hAnsi="Times New Roman" w:eastAsia="仿宋_GB2312" w:cs="Times New Roman"/>
          <w:sz w:val="32"/>
          <w:szCs w:val="32"/>
        </w:rPr>
        <w:t>资金分配编制不太规范，没有经过详细的数据调研和分析，预测的数据不科学，导致资金分配存在较多或不足等问题。</w:t>
      </w:r>
      <w:r>
        <w:rPr>
          <w:rFonts w:hint="eastAsia" w:ascii="Times New Roman" w:hAnsi="Times New Roman" w:eastAsia="仿宋_GB2312" w:cs="Times New Roman"/>
          <w:sz w:val="32"/>
          <w:szCs w:val="32"/>
          <w:lang w:val="en-US" w:eastAsia="zh-CN"/>
        </w:rPr>
        <w:t>三是项目归口业务部门对绩效评价结果应用的意识不强，没有将上年度资金使用效率与下年度资金的安排进行挂钩。</w:t>
      </w:r>
    </w:p>
    <w:p w14:paraId="2C4B239C">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40"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 xml:space="preserve">资金使用管理方面 </w:t>
      </w:r>
    </w:p>
    <w:p w14:paraId="42501C0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sz w:val="32"/>
          <w:szCs w:val="32"/>
          <w:lang w:val="en-US"/>
        </w:rPr>
      </w:pPr>
      <w:r>
        <w:rPr>
          <w:rFonts w:hint="eastAsia" w:ascii="Times New Roman" w:hAnsi="Times New Roman" w:eastAsia="仿宋_GB2312" w:cs="Times New Roman"/>
          <w:sz w:val="32"/>
          <w:szCs w:val="32"/>
          <w:lang w:val="en-US" w:eastAsia="zh-CN"/>
        </w:rPr>
        <w:t>一是中心2024年整体及</w:t>
      </w:r>
      <w:r>
        <w:rPr>
          <w:rFonts w:hint="eastAsia" w:ascii="Times New Roman" w:hAnsi="Times New Roman" w:eastAsia="仿宋_GB2312" w:cs="Times New Roman"/>
          <w:sz w:val="32"/>
          <w:szCs w:val="32"/>
        </w:rPr>
        <w:t>项目支出</w:t>
      </w:r>
      <w:r>
        <w:rPr>
          <w:rFonts w:hint="eastAsia" w:ascii="Times New Roman" w:hAnsi="Times New Roman" w:eastAsia="仿宋_GB2312" w:cs="Times New Roman"/>
          <w:sz w:val="32"/>
          <w:szCs w:val="32"/>
          <w:lang w:eastAsia="zh-CN"/>
        </w:rPr>
        <w:t>执行率较低，未达财政</w:t>
      </w:r>
      <w:r>
        <w:rPr>
          <w:rFonts w:hint="eastAsia" w:ascii="Times New Roman" w:hAnsi="Times New Roman" w:eastAsia="仿宋_GB2312" w:cs="Times New Roman"/>
          <w:sz w:val="32"/>
          <w:szCs w:val="32"/>
          <w:lang w:val="en-US" w:eastAsia="zh-CN"/>
        </w:rPr>
        <w:t>的</w:t>
      </w:r>
      <w:r>
        <w:rPr>
          <w:rFonts w:hint="eastAsia" w:ascii="Times New Roman" w:hAnsi="Times New Roman" w:eastAsia="仿宋_GB2312" w:cs="Times New Roman"/>
          <w:sz w:val="32"/>
          <w:szCs w:val="32"/>
          <w:lang w:eastAsia="zh-CN"/>
        </w:rPr>
        <w:t>要求</w:t>
      </w:r>
      <w:r>
        <w:rPr>
          <w:rFonts w:hint="eastAsia" w:ascii="Times New Roman" w:hAnsi="Times New Roman" w:eastAsia="仿宋_GB2312" w:cs="Times New Roman"/>
          <w:sz w:val="32"/>
          <w:szCs w:val="32"/>
        </w:rPr>
        <w:t>，其主要</w:t>
      </w:r>
      <w:r>
        <w:rPr>
          <w:rFonts w:hint="eastAsia" w:ascii="Times New Roman" w:hAnsi="Times New Roman" w:eastAsia="仿宋_GB2312" w:cs="Times New Roman"/>
          <w:sz w:val="32"/>
          <w:szCs w:val="32"/>
          <w:lang w:val="en-US" w:eastAsia="zh-CN"/>
        </w:rPr>
        <w:t>原因如下：</w:t>
      </w:r>
      <w:r>
        <w:rPr>
          <w:rFonts w:hint="eastAsia" w:ascii="Times New Roman" w:hAnsi="Times New Roman" w:eastAsia="仿宋_GB2312" w:cs="Times New Roman"/>
          <w:sz w:val="32"/>
          <w:szCs w:val="32"/>
          <w:lang w:eastAsia="zh-CN"/>
        </w:rPr>
        <w:t>国家级知识产权保护中心建设项目已完成，但</w:t>
      </w:r>
      <w:r>
        <w:rPr>
          <w:rFonts w:hint="eastAsia" w:ascii="Times New Roman" w:hAnsi="Times New Roman" w:eastAsia="仿宋_GB2312" w:cs="Times New Roman"/>
          <w:sz w:val="32"/>
          <w:szCs w:val="32"/>
          <w:lang w:val="en-US" w:eastAsia="zh-CN"/>
        </w:rPr>
        <w:t>经费尚有结余；国家知识产权保护中心建设专项中的信息化采购项目由省局统筹，暂时还未立项，导致相关经费无法开支，影响预算执行；知识产权战略专项资金年中下达</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且</w:t>
      </w:r>
      <w:r>
        <w:rPr>
          <w:rFonts w:hint="eastAsia" w:ascii="Times New Roman" w:hAnsi="Times New Roman" w:eastAsia="仿宋_GB2312" w:cs="Times New Roman"/>
          <w:sz w:val="32"/>
          <w:szCs w:val="32"/>
          <w:lang w:eastAsia="zh-CN"/>
        </w:rPr>
        <w:t>使用周期</w:t>
      </w:r>
      <w:r>
        <w:rPr>
          <w:rFonts w:hint="eastAsia" w:ascii="Times New Roman" w:hAnsi="Times New Roman" w:eastAsia="仿宋_GB2312" w:cs="Times New Roman"/>
          <w:sz w:val="32"/>
          <w:szCs w:val="32"/>
          <w:lang w:val="en-US" w:eastAsia="zh-CN"/>
        </w:rPr>
        <w:t>跨年度，故本年预算执行率较低</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二是项目资金使用过于固化，主要是项目资金使用部门对“零基预算”理解不够透彻，未完全打破固化思维壁垒，今后应根据工作职能及考核指标全方位、多维度的发挥预算资金的最优效力。</w:t>
      </w:r>
    </w:p>
    <w:p w14:paraId="32D856CE">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40"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 xml:space="preserve">资产和财务管理 </w:t>
      </w:r>
    </w:p>
    <w:p w14:paraId="79AC2B99">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是资产精细化管理程度有待加强，资产信息不够完善，个别信息出现遗漏甚至错误，主要是前期进行资产信息登记时出现纰漏。二是资产管理和实际使用存在脱节问题，资产台账登记的使用地点、使用人等信息和实际使用情况有所偏差，主要是后期使用发生变动时未及时更新资产信息。</w:t>
      </w:r>
    </w:p>
    <w:p w14:paraId="5330D3DA">
      <w:pPr>
        <w:keepNext w:val="0"/>
        <w:keepLines w:val="0"/>
        <w:pageBreakBefore w:val="0"/>
        <w:widowControl w:val="0"/>
        <w:numPr>
          <w:ilvl w:val="0"/>
          <w:numId w:val="7"/>
        </w:numPr>
        <w:kinsoku/>
        <w:wordWrap/>
        <w:overflowPunct/>
        <w:topLinePunct w:val="0"/>
        <w:autoSpaceDE/>
        <w:autoSpaceDN/>
        <w:bidi w:val="0"/>
        <w:adjustRightInd/>
        <w:snapToGrid/>
        <w:spacing w:line="600" w:lineRule="exact"/>
        <w:ind w:left="0" w:leftChars="0" w:firstLine="640"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 xml:space="preserve">政府采购方面 </w:t>
      </w:r>
    </w:p>
    <w:p w14:paraId="70A21B2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是存在项目流程繁琐且时限较长问题，如信息项目首先需省党政信息化领导小组前置审查，其次省发改委立项和概算评审，最后省财政评审等；整个流程时间较长且存在不确定因素较大，所以由省局统一采购的信息化项目，推进较慢，预计2025年立项，2026年完成采购、建设流程。二是存在采购人员专业性不强，培训不及时，对采购政策不够了解，验收程序执行不到位等情况。</w:t>
      </w:r>
    </w:p>
    <w:p w14:paraId="6869E09A">
      <w:pPr>
        <w:keepNext w:val="0"/>
        <w:keepLines w:val="0"/>
        <w:pageBreakBefore w:val="0"/>
        <w:widowControl w:val="0"/>
        <w:numPr>
          <w:ilvl w:val="0"/>
          <w:numId w:val="8"/>
        </w:numPr>
        <w:kinsoku/>
        <w:wordWrap/>
        <w:overflowPunct/>
        <w:topLinePunct w:val="0"/>
        <w:autoSpaceDE/>
        <w:autoSpaceDN/>
        <w:bidi w:val="0"/>
        <w:adjustRightInd/>
        <w:snapToGrid/>
        <w:spacing w:beforeAutospacing="0" w:afterAutospacing="0" w:line="600" w:lineRule="exact"/>
        <w:ind w:firstLine="640" w:firstLineChars="200"/>
        <w:jc w:val="both"/>
        <w:textAlignment w:val="auto"/>
        <w:outlineLvl w:val="0"/>
        <w:rPr>
          <w:rFonts w:hint="eastAsia" w:ascii="Times New Roman" w:hAnsi="Times New Roman" w:eastAsia="黑体" w:cs="Times New Roman"/>
          <w:snapToGrid w:val="0"/>
          <w:color w:val="000000"/>
          <w:kern w:val="44"/>
          <w:sz w:val="32"/>
          <w:szCs w:val="21"/>
          <w:lang w:val="en-US" w:eastAsia="zh-CN" w:bidi="ar-SA"/>
        </w:rPr>
      </w:pPr>
      <w:r>
        <w:rPr>
          <w:rFonts w:hint="eastAsia" w:ascii="Times New Roman" w:hAnsi="Times New Roman" w:eastAsia="黑体" w:cs="Times New Roman"/>
          <w:snapToGrid w:val="0"/>
          <w:color w:val="000000"/>
          <w:kern w:val="44"/>
          <w:sz w:val="32"/>
          <w:szCs w:val="21"/>
          <w:lang w:val="en-US" w:eastAsia="zh-CN" w:bidi="ar-SA"/>
        </w:rPr>
        <w:t>下一步改进措施</w:t>
      </w:r>
    </w:p>
    <w:p w14:paraId="67523171">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楷体" w:hAnsi="楷体" w:eastAsia="楷体" w:cs="楷体"/>
          <w:b/>
          <w:bCs/>
          <w:sz w:val="32"/>
          <w:szCs w:val="32"/>
          <w:lang w:val="en-US" w:eastAsia="zh-CN"/>
        </w:rPr>
        <w:t>加强绩效管理，提高资金效益。</w:t>
      </w:r>
      <w:r>
        <w:rPr>
          <w:rFonts w:hint="eastAsia" w:ascii="Times New Roman" w:hAnsi="Times New Roman" w:eastAsia="仿宋_GB2312" w:cs="Times New Roman"/>
          <w:sz w:val="32"/>
          <w:szCs w:val="32"/>
          <w:lang w:val="en-US" w:eastAsia="zh-CN"/>
        </w:rPr>
        <w:t>一是逐步建成“全方位、全过程、全覆盖”的预算绩效管理体系，实现预算和绩效管理一体化。二是压实部门内部绩效管理主体责任，加大预算绩效管理培训力度，强化对预算绩效管理的认识，提高绩效</w:t>
      </w:r>
      <w:r>
        <w:rPr>
          <w:rFonts w:hint="eastAsia" w:ascii="仿宋_GB2312" w:hAnsi="仿宋_GB2312" w:eastAsia="仿宋_GB2312" w:cs="仿宋_GB2312"/>
          <w:sz w:val="32"/>
          <w:szCs w:val="32"/>
          <w:lang w:val="en-US" w:eastAsia="zh-CN"/>
        </w:rPr>
        <w:t>管理水平。三是</w:t>
      </w:r>
      <w:r>
        <w:rPr>
          <w:rFonts w:hint="eastAsia" w:ascii="仿宋_GB2312" w:hAnsi="仿宋_GB2312" w:eastAsia="仿宋_GB2312" w:cs="仿宋_GB2312"/>
          <w:i w:val="0"/>
          <w:iCs w:val="0"/>
          <w:caps w:val="0"/>
          <w:color w:val="000000"/>
          <w:spacing w:val="0"/>
          <w:sz w:val="32"/>
          <w:szCs w:val="32"/>
          <w:shd w:val="clear" w:fill="FFFFFF"/>
        </w:rPr>
        <w:t>严格按照“先基本支出后项目支出”的原则，足额编制基本支出预算，</w:t>
      </w:r>
      <w:r>
        <w:rPr>
          <w:rFonts w:hint="eastAsia" w:ascii="仿宋_GB2312" w:hAnsi="仿宋_GB2312" w:eastAsia="仿宋_GB2312" w:cs="仿宋_GB2312"/>
          <w:i w:val="0"/>
          <w:iCs w:val="0"/>
          <w:caps w:val="0"/>
          <w:color w:val="000000"/>
          <w:spacing w:val="0"/>
          <w:sz w:val="32"/>
          <w:szCs w:val="32"/>
          <w:shd w:val="clear" w:fill="FFFFFF"/>
          <w:lang w:val="en-US" w:eastAsia="zh-CN"/>
        </w:rPr>
        <w:t>同时</w:t>
      </w:r>
      <w:r>
        <w:rPr>
          <w:rFonts w:hint="eastAsia" w:ascii="仿宋_GB2312" w:hAnsi="仿宋_GB2312" w:eastAsia="仿宋_GB2312" w:cs="仿宋_GB2312"/>
          <w:i w:val="0"/>
          <w:iCs w:val="0"/>
          <w:caps w:val="0"/>
          <w:color w:val="000000"/>
          <w:spacing w:val="0"/>
          <w:sz w:val="32"/>
          <w:szCs w:val="32"/>
          <w:shd w:val="clear" w:fill="FFFFFF"/>
        </w:rPr>
        <w:t>根据</w:t>
      </w:r>
      <w:r>
        <w:rPr>
          <w:rFonts w:hint="eastAsia" w:ascii="仿宋_GB2312" w:hAnsi="仿宋_GB2312" w:eastAsia="仿宋_GB2312" w:cs="仿宋_GB2312"/>
          <w:i w:val="0"/>
          <w:iCs w:val="0"/>
          <w:caps w:val="0"/>
          <w:color w:val="000000"/>
          <w:spacing w:val="0"/>
          <w:sz w:val="32"/>
          <w:szCs w:val="32"/>
          <w:shd w:val="clear" w:fill="FFFFFF"/>
          <w:lang w:val="en-US" w:eastAsia="zh-CN"/>
        </w:rPr>
        <w:t>职能职责和重点工作安排</w:t>
      </w:r>
      <w:r>
        <w:rPr>
          <w:rFonts w:hint="eastAsia" w:ascii="仿宋_GB2312" w:hAnsi="仿宋_GB2312" w:eastAsia="仿宋_GB2312" w:cs="仿宋_GB2312"/>
          <w:i w:val="0"/>
          <w:iCs w:val="0"/>
          <w:caps w:val="0"/>
          <w:color w:val="000000"/>
          <w:spacing w:val="0"/>
          <w:sz w:val="32"/>
          <w:szCs w:val="32"/>
          <w:shd w:val="clear" w:fill="FFFFFF"/>
        </w:rPr>
        <w:t>，按照轻重缓急合理安排支出预算，优先保障刚性支出和重点支出，并细化到每个执行节点，以保证支出预算的准确性。</w:t>
      </w:r>
      <w:r>
        <w:rPr>
          <w:rFonts w:hint="eastAsia" w:ascii="Times New Roman" w:hAnsi="Times New Roman" w:eastAsia="仿宋_GB2312" w:cs="Times New Roman"/>
          <w:sz w:val="32"/>
          <w:szCs w:val="32"/>
          <w:lang w:val="en-US" w:eastAsia="zh-CN"/>
        </w:rPr>
        <w:t xml:space="preserve"> </w:t>
      </w:r>
    </w:p>
    <w:p w14:paraId="51062F89">
      <w:pPr>
        <w:keepNext w:val="0"/>
        <w:keepLines w:val="0"/>
        <w:pageBreakBefore w:val="0"/>
        <w:widowControl w:val="0"/>
        <w:numPr>
          <w:ilvl w:val="0"/>
          <w:numId w:val="9"/>
        </w:numPr>
        <w:kinsoku/>
        <w:wordWrap/>
        <w:overflowPunct/>
        <w:topLinePunct w:val="0"/>
        <w:autoSpaceDE/>
        <w:autoSpaceDN/>
        <w:bidi w:val="0"/>
        <w:spacing w:line="600" w:lineRule="exact"/>
        <w:ind w:left="0" w:leftChars="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楷体" w:hAnsi="楷体" w:eastAsia="楷体" w:cs="楷体"/>
          <w:b/>
          <w:bCs/>
          <w:sz w:val="32"/>
          <w:szCs w:val="32"/>
          <w:lang w:val="en-US" w:eastAsia="zh-CN"/>
        </w:rPr>
        <w:t>加强能力建设，提升履职效能。</w:t>
      </w:r>
      <w:r>
        <w:rPr>
          <w:rFonts w:hint="eastAsia" w:ascii="Times New Roman" w:hAnsi="Times New Roman" w:eastAsia="仿宋_GB2312" w:cs="Times New Roman"/>
          <w:sz w:val="32"/>
          <w:szCs w:val="32"/>
          <w:lang w:val="en-US" w:eastAsia="zh-CN"/>
        </w:rPr>
        <w:t xml:space="preserve">一是加强中心全体人员能力建设，特别是要经常组织业务人员培训和交流学习，与时俱进拓宽业务人员的知识面，致力培养一批高素质的知识产权从业人员。二是提高业务工具使用效力，知识产权专业度高、涉及面广，工作时需要专业的数据库、检索工具等才能高效的提升履职效能，所以从业人员要不断地更新业务知识，敏感的捕捉各类辅助工具以发挥其效能。 </w:t>
      </w:r>
    </w:p>
    <w:p w14:paraId="19EF86FC">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楷体" w:hAnsi="楷体" w:eastAsia="楷体" w:cs="楷体"/>
          <w:b/>
          <w:bCs/>
          <w:sz w:val="32"/>
          <w:szCs w:val="32"/>
          <w:lang w:val="en-US" w:eastAsia="zh-CN"/>
        </w:rPr>
        <w:t>加强资金分配过程管理，优化预算编制。</w:t>
      </w:r>
      <w:r>
        <w:rPr>
          <w:rFonts w:hint="eastAsia" w:ascii="Times New Roman" w:hAnsi="Times New Roman" w:eastAsia="仿宋_GB2312" w:cs="Times New Roman"/>
          <w:sz w:val="32"/>
          <w:szCs w:val="32"/>
          <w:lang w:val="en-US" w:eastAsia="zh-CN"/>
        </w:rPr>
        <w:t xml:space="preserve">一是改变预算资金安排方式与思维，落实零基预算精神，不得固化资金的使用方向和金额，要与职能职责和下年度工作安排紧密结合，并测算出具体支出需求。二是强化资金管理。按照轻重缓急和项目成熟度做好排序，集中财力，突出重点，优先保障基本支出和重点工作。三是避免资金沉淀，充分发挥资金效益，加快预算执行，前期准备不充分、年内不需要使用资金的，一律不列入项目库，不安排预算。四是建立项目调整退出机制，对于入库的项目实行滚动管理、动态调整，工作进展缓慢，难以实施的项目要退出项目库，将资金投入到条件成熟的项目上。 </w:t>
      </w:r>
    </w:p>
    <w:p w14:paraId="2CF5D4AA">
      <w:pPr>
        <w:keepNext w:val="0"/>
        <w:keepLines w:val="0"/>
        <w:pageBreakBefore w:val="0"/>
        <w:widowControl w:val="0"/>
        <w:numPr>
          <w:ilvl w:val="0"/>
          <w:numId w:val="9"/>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楷体" w:hAnsi="楷体" w:eastAsia="楷体" w:cs="楷体"/>
          <w:b/>
          <w:bCs/>
          <w:sz w:val="32"/>
          <w:szCs w:val="32"/>
          <w:lang w:val="en-US" w:eastAsia="zh-CN"/>
        </w:rPr>
        <w:t>规范财务管理，保障资金安全</w:t>
      </w:r>
      <w:r>
        <w:rPr>
          <w:rFonts w:hint="eastAsia" w:ascii="Times New Roman" w:hAnsi="Times New Roman" w:eastAsia="仿宋_GB2312" w:cs="Times New Roman"/>
          <w:b/>
          <w:bCs/>
          <w:sz w:val="32"/>
          <w:szCs w:val="32"/>
          <w:lang w:val="en-US" w:eastAsia="zh-CN"/>
        </w:rPr>
        <w:t>。</w:t>
      </w:r>
      <w:r>
        <w:rPr>
          <w:rFonts w:hint="eastAsia" w:ascii="Times New Roman" w:hAnsi="Times New Roman" w:eastAsia="仿宋_GB2312" w:cs="Times New Roman"/>
          <w:sz w:val="32"/>
          <w:szCs w:val="32"/>
          <w:lang w:val="en-US" w:eastAsia="zh-CN"/>
        </w:rPr>
        <w:t xml:space="preserve">一是全方位实时监控资金使用进度，中心内部应及时通报使用情况以便进行调整。二是建立各业务部门与财务部门长效联动机制，加强沟通协调，推动项目实施进度，提高预算执行率。三是加强财务人员财政政策和业务培训，优化财会人员的知识结构，提高财会人员的整体专业技能，全面提升财务管理水平。 </w:t>
      </w:r>
    </w:p>
    <w:p w14:paraId="6E9D8950">
      <w:pPr>
        <w:keepNext w:val="0"/>
        <w:keepLines w:val="0"/>
        <w:pageBreakBefore w:val="0"/>
        <w:widowControl w:val="0"/>
        <w:kinsoku/>
        <w:wordWrap/>
        <w:overflowPunct/>
        <w:topLinePunct w:val="0"/>
        <w:autoSpaceDE/>
        <w:autoSpaceDN/>
        <w:bidi w:val="0"/>
        <w:adjustRightInd w:val="0"/>
        <w:snapToGrid w:val="0"/>
        <w:spacing w:beforeLines="0" w:after="0" w:afterLines="0" w:line="600" w:lineRule="exact"/>
        <w:ind w:left="0" w:leftChars="0" w:firstLine="640" w:firstLineChars="200"/>
        <w:jc w:val="left"/>
        <w:textAlignment w:val="auto"/>
        <w:rPr>
          <w:rFonts w:hint="eastAsia" w:ascii="Times New Roman" w:hAnsi="Times New Roman" w:eastAsia="仿宋_GB2312" w:cs="Times New Roman"/>
          <w:kern w:val="2"/>
          <w:sz w:val="32"/>
          <w:szCs w:val="32"/>
          <w:lang w:val="en-US" w:eastAsia="zh-CN" w:bidi="ar-SA"/>
        </w:rPr>
      </w:pPr>
      <w:r>
        <w:rPr>
          <w:rFonts w:hint="eastAsia" w:ascii="楷体" w:hAnsi="楷体" w:eastAsia="楷体" w:cs="楷体"/>
          <w:b/>
          <w:bCs/>
          <w:kern w:val="2"/>
          <w:sz w:val="32"/>
          <w:szCs w:val="32"/>
          <w:lang w:val="en-US" w:eastAsia="zh-CN" w:bidi="ar-SA"/>
        </w:rPr>
        <w:t>（五）加强资产管理，确保资产安全。</w:t>
      </w:r>
      <w:r>
        <w:rPr>
          <w:rFonts w:hint="eastAsia" w:ascii="Times New Roman" w:hAnsi="Times New Roman" w:eastAsia="仿宋_GB2312" w:cs="Times New Roman"/>
          <w:b/>
          <w:bCs/>
          <w:kern w:val="2"/>
          <w:sz w:val="32"/>
          <w:szCs w:val="32"/>
          <w:lang w:val="en-US" w:eastAsia="zh-CN" w:bidi="ar-SA"/>
        </w:rPr>
        <w:t xml:space="preserve"> </w:t>
      </w:r>
      <w:r>
        <w:rPr>
          <w:rFonts w:hint="eastAsia" w:ascii="Times New Roman" w:hAnsi="Times New Roman" w:eastAsia="仿宋_GB2312" w:cs="Times New Roman"/>
          <w:kern w:val="2"/>
          <w:sz w:val="32"/>
          <w:szCs w:val="32"/>
          <w:lang w:val="en-US" w:eastAsia="zh-CN" w:bidi="ar-SA"/>
        </w:rPr>
        <w:t>强化资产精细化管理，做好资产的日常管理，做到一卡一物，落实到部门和个人。要定时定期的进行资产清查，摸清家底，提高资产使用效率。</w:t>
      </w:r>
    </w:p>
    <w:p w14:paraId="7C8ECC46">
      <w:pPr>
        <w:keepNext w:val="0"/>
        <w:keepLines w:val="0"/>
        <w:pageBreakBefore w:val="0"/>
        <w:widowControl w:val="0"/>
        <w:kinsoku/>
        <w:wordWrap/>
        <w:overflowPunct/>
        <w:topLinePunct w:val="0"/>
        <w:autoSpaceDE/>
        <w:autoSpaceDN/>
        <w:bidi w:val="0"/>
        <w:adjustRightInd w:val="0"/>
        <w:snapToGrid w:val="0"/>
        <w:spacing w:after="0" w:line="600" w:lineRule="exact"/>
        <w:ind w:left="0" w:leftChars="0" w:firstLine="640" w:firstLineChars="200"/>
        <w:jc w:val="both"/>
        <w:textAlignment w:val="auto"/>
        <w:rPr>
          <w:rFonts w:hint="eastAsia" w:ascii="Times New Roman" w:hAnsi="Times New Roman" w:eastAsia="仿宋_GB2312" w:cs="Times New Roman"/>
          <w:kern w:val="2"/>
          <w:sz w:val="32"/>
          <w:szCs w:val="32"/>
          <w:lang w:val="en-US" w:eastAsia="zh-CN" w:bidi="ar-SA"/>
        </w:rPr>
      </w:pPr>
      <w:r>
        <w:rPr>
          <w:rFonts w:hint="eastAsia" w:ascii="楷体" w:hAnsi="楷体" w:eastAsia="楷体" w:cs="楷体"/>
          <w:b/>
          <w:bCs/>
          <w:kern w:val="2"/>
          <w:sz w:val="32"/>
          <w:szCs w:val="32"/>
          <w:lang w:val="en-US" w:eastAsia="zh-CN" w:bidi="ar-SA"/>
        </w:rPr>
        <w:t>（六）强化政府采购。</w:t>
      </w:r>
      <w:r>
        <w:rPr>
          <w:rFonts w:hint="eastAsia" w:ascii="Times New Roman" w:hAnsi="Times New Roman" w:eastAsia="仿宋_GB2312" w:cs="Times New Roman"/>
          <w:kern w:val="2"/>
          <w:sz w:val="32"/>
          <w:szCs w:val="32"/>
          <w:lang w:val="en-US" w:eastAsia="zh-CN" w:bidi="ar-SA"/>
        </w:rPr>
        <w:t>一是强化政府采购预算约束力，根据省采购目录和财政部门预算管理要求，编制政府采购计划，将采购项目全部纳入部门预算管理；采购前，做好采购政策咨询，充分沟通采购需求；采购中，合理选择采购方式，确保采购流程合理合规，做好采购项目信息的公示公开工作；采购后，抓好采购项目的监管工作，严把质量关、力求实效。二是积极开展采购人员的培训，及时充盈采购人员业务知识，并强化政府采购管理知识的运用。三是提前做好采购时间规划，预计项目开展时间，合理安排资金，项目与资金能统一到位。</w:t>
      </w:r>
    </w:p>
    <w:p w14:paraId="45537EB2">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outlineLvl w:val="0"/>
        <w:rPr>
          <w:rFonts w:hint="eastAsia" w:ascii="Times New Roman" w:hAnsi="Times New Roman" w:eastAsia="黑体" w:cs="Times New Roman"/>
          <w:snapToGrid w:val="0"/>
          <w:color w:val="000000"/>
          <w:kern w:val="44"/>
          <w:sz w:val="32"/>
          <w:szCs w:val="21"/>
          <w:lang w:val="en-US" w:eastAsia="zh-CN" w:bidi="ar-SA"/>
        </w:rPr>
      </w:pPr>
      <w:r>
        <w:rPr>
          <w:rFonts w:hint="eastAsia" w:ascii="Times New Roman" w:hAnsi="Times New Roman" w:eastAsia="黑体" w:cs="Times New Roman"/>
          <w:snapToGrid w:val="0"/>
          <w:color w:val="000000"/>
          <w:kern w:val="44"/>
          <w:sz w:val="32"/>
          <w:szCs w:val="21"/>
          <w:lang w:val="en-US" w:eastAsia="zh-CN" w:bidi="ar-SA"/>
        </w:rPr>
        <w:t>九、单位整体支出绩效自评结果拟应用和公开情况</w:t>
      </w:r>
    </w:p>
    <w:p w14:paraId="26415A9A">
      <w:pPr>
        <w:keepNext w:val="0"/>
        <w:keepLines w:val="0"/>
        <w:pageBreakBefore w:val="0"/>
        <w:widowControl w:val="0"/>
        <w:kinsoku/>
        <w:wordWrap/>
        <w:overflowPunct/>
        <w:topLinePunct w:val="0"/>
        <w:autoSpaceDE/>
        <w:autoSpaceDN/>
        <w:bidi w:val="0"/>
        <w:adjustRightInd w:val="0"/>
        <w:snapToGrid w:val="0"/>
        <w:spacing w:after="0" w:line="600" w:lineRule="exact"/>
        <w:ind w:left="0" w:leftChars="0" w:firstLine="640" w:firstLineChars="200"/>
        <w:jc w:val="both"/>
        <w:textAlignment w:val="auto"/>
      </w:pPr>
      <w:r>
        <w:rPr>
          <w:rFonts w:hint="eastAsia" w:ascii="Times New Roman" w:hAnsi="Times New Roman" w:eastAsia="仿宋_GB2312" w:cs="Times New Roman"/>
          <w:kern w:val="2"/>
          <w:sz w:val="32"/>
          <w:szCs w:val="32"/>
          <w:lang w:val="en-US" w:eastAsia="zh-CN" w:bidi="ar-SA"/>
        </w:rPr>
        <w:t>本次单位整体支出绩效自评结果彰显了中心上年度工作成果的同时也暴露了部分问题和隐患，这些成绩和问题将作为来年工作和预算安排的重要依据，为提升资金使用效益、项目实施效率，规避问题和风险作出了有效指引。单位整体支出绩效自评报告及省级市场监管专项资金自评报告均按照要求在规定时间内在省市场监督管理局官网上进行公开。</w:t>
      </w:r>
    </w:p>
    <w:sectPr>
      <w:pgSz w:w="11906" w:h="16838"/>
      <w:pgMar w:top="1417" w:right="1588" w:bottom="1417"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D91BF">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DE0AD1">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C7ADA">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685638">
                          <w:pPr>
                            <w:pStyle w:val="6"/>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36685638">
                    <w:pPr>
                      <w:pStyle w:val="6"/>
                    </w:pPr>
                    <w:r>
                      <w:fldChar w:fldCharType="begin"/>
                    </w:r>
                    <w:r>
                      <w:instrText xml:space="preserve"> PAGE  \* MERGEFORMAT </w:instrText>
                    </w:r>
                    <w:r>
                      <w:fldChar w:fldCharType="separate"/>
                    </w:r>
                    <w:r>
                      <w:t>20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364703"/>
    <w:multiLevelType w:val="singleLevel"/>
    <w:tmpl w:val="90364703"/>
    <w:lvl w:ilvl="0" w:tentative="0">
      <w:start w:val="8"/>
      <w:numFmt w:val="chineseCounting"/>
      <w:suff w:val="nothing"/>
      <w:lvlText w:val="%1、"/>
      <w:lvlJc w:val="left"/>
      <w:rPr>
        <w:rFonts w:hint="eastAsia"/>
      </w:rPr>
    </w:lvl>
  </w:abstractNum>
  <w:abstractNum w:abstractNumId="1">
    <w:nsid w:val="C546E488"/>
    <w:multiLevelType w:val="singleLevel"/>
    <w:tmpl w:val="C546E488"/>
    <w:lvl w:ilvl="0" w:tentative="0">
      <w:start w:val="1"/>
      <w:numFmt w:val="chineseCounting"/>
      <w:suff w:val="nothing"/>
      <w:lvlText w:val="（%1）"/>
      <w:lvlJc w:val="left"/>
      <w:rPr>
        <w:rFonts w:hint="eastAsia"/>
      </w:rPr>
    </w:lvl>
  </w:abstractNum>
  <w:abstractNum w:abstractNumId="2">
    <w:nsid w:val="E5E097D7"/>
    <w:multiLevelType w:val="singleLevel"/>
    <w:tmpl w:val="E5E097D7"/>
    <w:lvl w:ilvl="0" w:tentative="0">
      <w:start w:val="1"/>
      <w:numFmt w:val="chineseCounting"/>
      <w:suff w:val="nothing"/>
      <w:lvlText w:val="（%1）"/>
      <w:lvlJc w:val="left"/>
      <w:rPr>
        <w:rFonts w:hint="eastAsia"/>
      </w:rPr>
    </w:lvl>
  </w:abstractNum>
  <w:abstractNum w:abstractNumId="3">
    <w:nsid w:val="EEE6BB0E"/>
    <w:multiLevelType w:val="singleLevel"/>
    <w:tmpl w:val="EEE6BB0E"/>
    <w:lvl w:ilvl="0" w:tentative="0">
      <w:start w:val="1"/>
      <w:numFmt w:val="chineseCounting"/>
      <w:suff w:val="nothing"/>
      <w:lvlText w:val="%1、"/>
      <w:lvlJc w:val="left"/>
      <w:rPr>
        <w:rFonts w:hint="eastAsia"/>
      </w:rPr>
    </w:lvl>
  </w:abstractNum>
  <w:abstractNum w:abstractNumId="4">
    <w:nsid w:val="FEAA65C7"/>
    <w:multiLevelType w:val="singleLevel"/>
    <w:tmpl w:val="FEAA65C7"/>
    <w:lvl w:ilvl="0" w:tentative="0">
      <w:start w:val="9"/>
      <w:numFmt w:val="decimal"/>
      <w:suff w:val="nothing"/>
      <w:lvlText w:val="%1、"/>
      <w:lvlJc w:val="left"/>
    </w:lvl>
  </w:abstractNum>
  <w:abstractNum w:abstractNumId="5">
    <w:nsid w:val="15A2429B"/>
    <w:multiLevelType w:val="singleLevel"/>
    <w:tmpl w:val="15A2429B"/>
    <w:lvl w:ilvl="0" w:tentative="0">
      <w:start w:val="3"/>
      <w:numFmt w:val="decimal"/>
      <w:suff w:val="nothing"/>
      <w:lvlText w:val="%1、"/>
      <w:lvlJc w:val="left"/>
    </w:lvl>
  </w:abstractNum>
  <w:abstractNum w:abstractNumId="6">
    <w:nsid w:val="25ED6539"/>
    <w:multiLevelType w:val="singleLevel"/>
    <w:tmpl w:val="25ED6539"/>
    <w:lvl w:ilvl="0" w:tentative="0">
      <w:start w:val="1"/>
      <w:numFmt w:val="chineseCounting"/>
      <w:suff w:val="nothing"/>
      <w:lvlText w:val="（%1）"/>
      <w:lvlJc w:val="left"/>
      <w:rPr>
        <w:rFonts w:hint="eastAsia" w:ascii="楷体" w:hAnsi="楷体" w:eastAsia="楷体" w:cs="楷体"/>
      </w:rPr>
    </w:lvl>
  </w:abstractNum>
  <w:abstractNum w:abstractNumId="7">
    <w:nsid w:val="57F9E032"/>
    <w:multiLevelType w:val="singleLevel"/>
    <w:tmpl w:val="57F9E032"/>
    <w:lvl w:ilvl="0" w:tentative="0">
      <w:start w:val="1"/>
      <w:numFmt w:val="chineseCounting"/>
      <w:suff w:val="nothing"/>
      <w:lvlText w:val="（%1）"/>
      <w:lvlJc w:val="left"/>
      <w:rPr>
        <w:rFonts w:hint="eastAsia"/>
      </w:rPr>
    </w:lvl>
  </w:abstractNum>
  <w:abstractNum w:abstractNumId="8">
    <w:nsid w:val="600AC516"/>
    <w:multiLevelType w:val="singleLevel"/>
    <w:tmpl w:val="600AC516"/>
    <w:lvl w:ilvl="0" w:tentative="0">
      <w:start w:val="1"/>
      <w:numFmt w:val="chineseCounting"/>
      <w:suff w:val="nothing"/>
      <w:lvlText w:val="%1、"/>
      <w:lvlJc w:val="left"/>
      <w:rPr>
        <w:rFonts w:hint="eastAsia"/>
      </w:rPr>
    </w:lvl>
  </w:abstractNum>
  <w:num w:numId="1">
    <w:abstractNumId w:val="3"/>
  </w:num>
  <w:num w:numId="2">
    <w:abstractNumId w:val="5"/>
  </w:num>
  <w:num w:numId="3">
    <w:abstractNumId w:val="4"/>
  </w:num>
  <w:num w:numId="4">
    <w:abstractNumId w:val="8"/>
  </w:num>
  <w:num w:numId="5">
    <w:abstractNumId w:val="1"/>
  </w:num>
  <w:num w:numId="6">
    <w:abstractNumId w:val="2"/>
  </w:num>
  <w:num w:numId="7">
    <w:abstractNumId w:val="7"/>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yNGNkZDgxZjYyYzkyOTZmYTJhY2Q4MjUwMWFkNTkifQ=="/>
  </w:docVars>
  <w:rsids>
    <w:rsidRoot w:val="004506F9"/>
    <w:rsid w:val="0000001A"/>
    <w:rsid w:val="0002229B"/>
    <w:rsid w:val="000273BD"/>
    <w:rsid w:val="0003620C"/>
    <w:rsid w:val="00040CBC"/>
    <w:rsid w:val="000415B7"/>
    <w:rsid w:val="00041E3F"/>
    <w:rsid w:val="00055DAA"/>
    <w:rsid w:val="00061F7B"/>
    <w:rsid w:val="000658A3"/>
    <w:rsid w:val="00074155"/>
    <w:rsid w:val="00080785"/>
    <w:rsid w:val="000A3F69"/>
    <w:rsid w:val="000B20F1"/>
    <w:rsid w:val="000C5742"/>
    <w:rsid w:val="00103957"/>
    <w:rsid w:val="00152C6D"/>
    <w:rsid w:val="00162D39"/>
    <w:rsid w:val="001678BD"/>
    <w:rsid w:val="00182373"/>
    <w:rsid w:val="001A67DB"/>
    <w:rsid w:val="001B67D1"/>
    <w:rsid w:val="001C3C29"/>
    <w:rsid w:val="001D2B79"/>
    <w:rsid w:val="001D51E5"/>
    <w:rsid w:val="001E080D"/>
    <w:rsid w:val="001E53D0"/>
    <w:rsid w:val="001F0C3B"/>
    <w:rsid w:val="00202C82"/>
    <w:rsid w:val="00214427"/>
    <w:rsid w:val="00220689"/>
    <w:rsid w:val="00221AFD"/>
    <w:rsid w:val="00226CB7"/>
    <w:rsid w:val="00252450"/>
    <w:rsid w:val="00264552"/>
    <w:rsid w:val="00264EF9"/>
    <w:rsid w:val="00265724"/>
    <w:rsid w:val="0027426B"/>
    <w:rsid w:val="00296D60"/>
    <w:rsid w:val="002E0A30"/>
    <w:rsid w:val="0030077D"/>
    <w:rsid w:val="003130C4"/>
    <w:rsid w:val="00316C4B"/>
    <w:rsid w:val="0032192B"/>
    <w:rsid w:val="0033283E"/>
    <w:rsid w:val="003479BD"/>
    <w:rsid w:val="0037197D"/>
    <w:rsid w:val="003768D5"/>
    <w:rsid w:val="003926B9"/>
    <w:rsid w:val="003C2E17"/>
    <w:rsid w:val="003C47E6"/>
    <w:rsid w:val="003C4FC2"/>
    <w:rsid w:val="00401F9A"/>
    <w:rsid w:val="00416E61"/>
    <w:rsid w:val="0042790C"/>
    <w:rsid w:val="004506F9"/>
    <w:rsid w:val="00462315"/>
    <w:rsid w:val="004717A2"/>
    <w:rsid w:val="00473DF3"/>
    <w:rsid w:val="00487911"/>
    <w:rsid w:val="00490F48"/>
    <w:rsid w:val="00491741"/>
    <w:rsid w:val="004B0CEE"/>
    <w:rsid w:val="004C2A0A"/>
    <w:rsid w:val="004F5EFB"/>
    <w:rsid w:val="00500E5F"/>
    <w:rsid w:val="005122EF"/>
    <w:rsid w:val="0051441A"/>
    <w:rsid w:val="00517C33"/>
    <w:rsid w:val="00517D5F"/>
    <w:rsid w:val="00523644"/>
    <w:rsid w:val="0054069E"/>
    <w:rsid w:val="00544866"/>
    <w:rsid w:val="00552A3D"/>
    <w:rsid w:val="00574CC8"/>
    <w:rsid w:val="005767CC"/>
    <w:rsid w:val="00590D9F"/>
    <w:rsid w:val="00595D26"/>
    <w:rsid w:val="005A74E6"/>
    <w:rsid w:val="005B404E"/>
    <w:rsid w:val="005D4D55"/>
    <w:rsid w:val="005E0E6C"/>
    <w:rsid w:val="005E2CFB"/>
    <w:rsid w:val="005F2103"/>
    <w:rsid w:val="005F3D1C"/>
    <w:rsid w:val="005F4189"/>
    <w:rsid w:val="006171EE"/>
    <w:rsid w:val="0062378F"/>
    <w:rsid w:val="00641842"/>
    <w:rsid w:val="00651EEC"/>
    <w:rsid w:val="00686673"/>
    <w:rsid w:val="00691E8C"/>
    <w:rsid w:val="006A22C4"/>
    <w:rsid w:val="006A351B"/>
    <w:rsid w:val="006B0422"/>
    <w:rsid w:val="006C1B53"/>
    <w:rsid w:val="006D7730"/>
    <w:rsid w:val="006E5284"/>
    <w:rsid w:val="006F3EB5"/>
    <w:rsid w:val="006F56C8"/>
    <w:rsid w:val="00702E34"/>
    <w:rsid w:val="00704395"/>
    <w:rsid w:val="00710FE7"/>
    <w:rsid w:val="00717621"/>
    <w:rsid w:val="00720FF1"/>
    <w:rsid w:val="00727A53"/>
    <w:rsid w:val="007502DE"/>
    <w:rsid w:val="00787B42"/>
    <w:rsid w:val="007C4539"/>
    <w:rsid w:val="007F3657"/>
    <w:rsid w:val="00810F0C"/>
    <w:rsid w:val="00811AA2"/>
    <w:rsid w:val="00812ED5"/>
    <w:rsid w:val="008277D9"/>
    <w:rsid w:val="0084478C"/>
    <w:rsid w:val="0086638C"/>
    <w:rsid w:val="008764FA"/>
    <w:rsid w:val="008A1079"/>
    <w:rsid w:val="008A3E8D"/>
    <w:rsid w:val="008A5055"/>
    <w:rsid w:val="008D17F4"/>
    <w:rsid w:val="009237C4"/>
    <w:rsid w:val="00944C48"/>
    <w:rsid w:val="00950252"/>
    <w:rsid w:val="00967F5D"/>
    <w:rsid w:val="009A0F95"/>
    <w:rsid w:val="009B3ADF"/>
    <w:rsid w:val="009C31C5"/>
    <w:rsid w:val="009C3B52"/>
    <w:rsid w:val="009E6817"/>
    <w:rsid w:val="009E6E9A"/>
    <w:rsid w:val="00A01D2B"/>
    <w:rsid w:val="00A1392A"/>
    <w:rsid w:val="00A42218"/>
    <w:rsid w:val="00A70249"/>
    <w:rsid w:val="00A70B02"/>
    <w:rsid w:val="00A71D9F"/>
    <w:rsid w:val="00A92E9F"/>
    <w:rsid w:val="00AB18FF"/>
    <w:rsid w:val="00B26269"/>
    <w:rsid w:val="00B33BEA"/>
    <w:rsid w:val="00B57C9F"/>
    <w:rsid w:val="00B63572"/>
    <w:rsid w:val="00B845B3"/>
    <w:rsid w:val="00B85D8B"/>
    <w:rsid w:val="00BB4A40"/>
    <w:rsid w:val="00BD6022"/>
    <w:rsid w:val="00BD6C3E"/>
    <w:rsid w:val="00BE3674"/>
    <w:rsid w:val="00C10681"/>
    <w:rsid w:val="00C10822"/>
    <w:rsid w:val="00C15C89"/>
    <w:rsid w:val="00C27C0D"/>
    <w:rsid w:val="00C3049A"/>
    <w:rsid w:val="00C31B1E"/>
    <w:rsid w:val="00C32F2E"/>
    <w:rsid w:val="00C73888"/>
    <w:rsid w:val="00C77645"/>
    <w:rsid w:val="00CE04C3"/>
    <w:rsid w:val="00CE34BE"/>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1D97DEFF"/>
    <w:rsid w:val="1DFF72E5"/>
    <w:rsid w:val="1EFC6F07"/>
    <w:rsid w:val="2FDF85B8"/>
    <w:rsid w:val="2FFFEE04"/>
    <w:rsid w:val="33CFE59A"/>
    <w:rsid w:val="34DF85B0"/>
    <w:rsid w:val="3B8F36BC"/>
    <w:rsid w:val="3FBF5974"/>
    <w:rsid w:val="491FF225"/>
    <w:rsid w:val="4CFF9CBB"/>
    <w:rsid w:val="4EBFF936"/>
    <w:rsid w:val="4FF69791"/>
    <w:rsid w:val="4FFD214C"/>
    <w:rsid w:val="5777D4F5"/>
    <w:rsid w:val="59DD8326"/>
    <w:rsid w:val="5DEF592A"/>
    <w:rsid w:val="5DEFEC62"/>
    <w:rsid w:val="5FC6BB1E"/>
    <w:rsid w:val="5FF720F1"/>
    <w:rsid w:val="64BB86FC"/>
    <w:rsid w:val="67FF5C0B"/>
    <w:rsid w:val="6EFC0924"/>
    <w:rsid w:val="6F7DF524"/>
    <w:rsid w:val="6FB74722"/>
    <w:rsid w:val="6FDDB640"/>
    <w:rsid w:val="6FEF0BCD"/>
    <w:rsid w:val="6FEF8B7E"/>
    <w:rsid w:val="6FFF77AB"/>
    <w:rsid w:val="71A6591B"/>
    <w:rsid w:val="737D59BA"/>
    <w:rsid w:val="73FCFCAD"/>
    <w:rsid w:val="77C37683"/>
    <w:rsid w:val="79D19834"/>
    <w:rsid w:val="79FF515B"/>
    <w:rsid w:val="7AFDF7C1"/>
    <w:rsid w:val="7CEBAD2E"/>
    <w:rsid w:val="7E9E1962"/>
    <w:rsid w:val="7E9F11B4"/>
    <w:rsid w:val="7F1E12B6"/>
    <w:rsid w:val="7F37EC1E"/>
    <w:rsid w:val="7F7DCD9D"/>
    <w:rsid w:val="7F970A6F"/>
    <w:rsid w:val="7FBB20D5"/>
    <w:rsid w:val="7FC1FFF3"/>
    <w:rsid w:val="7FC69637"/>
    <w:rsid w:val="7FD35044"/>
    <w:rsid w:val="7FDF8620"/>
    <w:rsid w:val="7FE8C8F7"/>
    <w:rsid w:val="7FFB242F"/>
    <w:rsid w:val="7FFDB408"/>
    <w:rsid w:val="7FFE4EEB"/>
    <w:rsid w:val="95FB2B98"/>
    <w:rsid w:val="9A639BC2"/>
    <w:rsid w:val="9FF7D786"/>
    <w:rsid w:val="ABBFB23D"/>
    <w:rsid w:val="BFD6E0AF"/>
    <w:rsid w:val="BFFE3EA0"/>
    <w:rsid w:val="C3B4DA5A"/>
    <w:rsid w:val="CBFF70E0"/>
    <w:rsid w:val="CDFF04EE"/>
    <w:rsid w:val="CFF50B82"/>
    <w:rsid w:val="CFFFAD89"/>
    <w:rsid w:val="D6F96C6A"/>
    <w:rsid w:val="DFEEAFC0"/>
    <w:rsid w:val="DFF499AA"/>
    <w:rsid w:val="DFFE359E"/>
    <w:rsid w:val="DFFE4FFD"/>
    <w:rsid w:val="E2FF5B1F"/>
    <w:rsid w:val="EEABED75"/>
    <w:rsid w:val="EEFF63CC"/>
    <w:rsid w:val="F56FDF51"/>
    <w:rsid w:val="F6B69F17"/>
    <w:rsid w:val="F77F1D61"/>
    <w:rsid w:val="F7FED3A9"/>
    <w:rsid w:val="F8C9DB26"/>
    <w:rsid w:val="F97E8EAE"/>
    <w:rsid w:val="FB36E1A6"/>
    <w:rsid w:val="FB3BE134"/>
    <w:rsid w:val="FCFF4275"/>
    <w:rsid w:val="FD7FEEEA"/>
    <w:rsid w:val="FDFFB577"/>
    <w:rsid w:val="FEEA50FE"/>
    <w:rsid w:val="FF6BA35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4"/>
    <w:semiHidden/>
    <w:unhideWhenUsed/>
    <w:qFormat/>
    <w:uiPriority w:val="99"/>
    <w:rPr>
      <w:sz w:val="18"/>
      <w:szCs w:val="18"/>
    </w:rPr>
  </w:style>
  <w:style w:type="paragraph" w:styleId="6">
    <w:name w:val="footer"/>
    <w:basedOn w:val="1"/>
    <w:link w:val="11"/>
    <w:unhideWhenUsed/>
    <w:qFormat/>
    <w:uiPriority w:val="99"/>
    <w:pPr>
      <w:tabs>
        <w:tab w:val="center" w:pos="4153"/>
        <w:tab w:val="right" w:pos="8306"/>
      </w:tabs>
      <w:snapToGrid w:val="0"/>
      <w:jc w:val="left"/>
    </w:pPr>
    <w:rPr>
      <w:sz w:val="18"/>
      <w:szCs w:val="18"/>
    </w:rPr>
  </w:style>
  <w:style w:type="paragraph" w:styleId="7">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qFormat/>
    <w:uiPriority w:val="99"/>
    <w:rPr>
      <w:sz w:val="18"/>
      <w:szCs w:val="18"/>
    </w:rPr>
  </w:style>
  <w:style w:type="character" w:customStyle="1" w:styleId="11">
    <w:name w:val="页脚 Char"/>
    <w:basedOn w:val="9"/>
    <w:link w:val="6"/>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5"/>
    <w:semiHidden/>
    <w:qFormat/>
    <w:uiPriority w:val="99"/>
    <w:rPr>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21"/>
    <w:basedOn w:val="9"/>
    <w:qFormat/>
    <w:uiPriority w:val="0"/>
    <w:rPr>
      <w:rFonts w:hint="eastAsia" w:ascii="宋体" w:hAnsi="宋体" w:eastAsia="宋体" w:cs="宋体"/>
      <w:color w:val="000000"/>
      <w:sz w:val="24"/>
      <w:szCs w:val="24"/>
      <w:u w:val="none"/>
    </w:rPr>
  </w:style>
  <w:style w:type="character" w:customStyle="1" w:styleId="17">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48</Pages>
  <Words>1463</Words>
  <Characters>8342</Characters>
  <Lines>69</Lines>
  <Paragraphs>19</Paragraphs>
  <TotalTime>0</TotalTime>
  <ScaleCrop>false</ScaleCrop>
  <LinksUpToDate>false</LinksUpToDate>
  <CharactersWithSpaces>9786</CharactersWithSpaces>
  <Application>WPS Office_12.8.2.1115_F1E327BC-269C-435d-A152-05C5408002CA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2025-08-25T10:17:00Z</dcterms:created>
  <dc:creator>李航 null</dc:creator>
  <cp:lastModifiedBy>马遥</cp:lastModifiedBy>
  <cp:lastPrinted>2024-08-15T18:20:00Z</cp:lastPrinted>
  <dcterms:modified xsi:type="dcterms:W3CDTF">2025-09-19T12:59:55Z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2052-12.8.2.1115</vt:lpwstr>
  </property>
  <property fmtid="{D5CDD505-2E9C-101B-9397-08002B2CF9AE}" pid="3" name="ICV">
    <vt:lpwstr>C4AA407485F257D67B36A568594199D4_43</vt:lpwstr>
  </property>
</Properties>
</file>